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53E16">
      <w:pPr>
        <w:spacing w:after="0"/>
        <w:jc w:val="center"/>
      </w:pPr>
      <w:bookmarkStart w:id="0" w:name="_GoBack"/>
      <w:bookmarkEnd w:id="0"/>
      <w:r>
        <w:rPr>
          <w:rFonts w:ascii="黑体" w:hAnsi="黑体" w:eastAsia="黑体"/>
          <w:b/>
          <w:sz w:val="32"/>
        </w:rPr>
        <w:t>《功能型无人车 车辆及部件 术语和定义》</w:t>
      </w:r>
    </w:p>
    <w:p w14:paraId="0C91D8FE">
      <w:pPr>
        <w:spacing w:after="240"/>
        <w:jc w:val="center"/>
      </w:pPr>
      <w:r>
        <w:rPr>
          <w:rFonts w:ascii="黑体" w:hAnsi="黑体" w:eastAsia="黑体"/>
          <w:b/>
          <w:sz w:val="32"/>
        </w:rPr>
        <w:t>编制说明</w:t>
      </w:r>
    </w:p>
    <w:p w14:paraId="0FD463BF">
      <w:pPr>
        <w:spacing w:before="240" w:after="120" w:line="360" w:lineRule="auto"/>
      </w:pPr>
      <w:r>
        <w:rPr>
          <w:rFonts w:ascii="黑体" w:hAnsi="黑体" w:eastAsia="黑体"/>
          <w:b/>
          <w:sz w:val="28"/>
        </w:rPr>
        <w:t>（一）标准制定项目背景</w:t>
      </w:r>
    </w:p>
    <w:p w14:paraId="46693768">
      <w:pPr>
        <w:spacing w:after="120" w:line="360" w:lineRule="auto"/>
        <w:ind w:firstLine="420"/>
      </w:pPr>
      <w:r>
        <w:rPr>
          <w:rFonts w:ascii="宋体" w:hAnsi="宋体" w:eastAsia="宋体"/>
          <w:b w:val="0"/>
          <w:sz w:val="24"/>
        </w:rPr>
        <w:t>随着智能网联汽车技术的快速发展和无人驾驶技术的日益成熟，功能型无人车作为智能交通系统的重要组成部分，正在配送、运输、安防、零售、环卫、接驳等多个领域得到广泛应用。然而，当前行业内对于功能型无人车的术语和定义尚未形成统一标准，不同企业、研究机构和管理部门在技术交流、产品开发、测试认证等方面存在概念不清、表述不一的问题，严重制约了行业的规范化发展和技术创新。</w:t>
      </w:r>
    </w:p>
    <w:p w14:paraId="27090A97">
      <w:pPr>
        <w:spacing w:after="120" w:line="360" w:lineRule="auto"/>
        <w:ind w:firstLine="420"/>
      </w:pPr>
      <w:r>
        <w:rPr>
          <w:rFonts w:ascii="宋体" w:hAnsi="宋体" w:eastAsia="宋体"/>
          <w:b w:val="0"/>
          <w:sz w:val="24"/>
        </w:rPr>
        <w:t>为响应国家智能网联汽车发展战略和深圳市建设智能网联汽车产业高地的要求，满足功能型无人车产业对统一术语体系的迫切需求，编制《功能型无人车 车辆及部件 术语和定义》团体标准，旨在凝聚行业共识，建立科学、系统、规范的术语体系，为产品研发、测试验证、示范应用和行业监管提供基础支撑，填补当前术语标准空白，促进功能型无人车产业健康有序发展，具有重要的现实意义和战略价值。</w:t>
      </w:r>
    </w:p>
    <w:p w14:paraId="11C28EF4">
      <w:pPr>
        <w:spacing w:before="240" w:after="120" w:line="360" w:lineRule="auto"/>
      </w:pPr>
      <w:r>
        <w:rPr>
          <w:rFonts w:ascii="黑体" w:hAnsi="黑体" w:eastAsia="黑体"/>
          <w:b/>
          <w:sz w:val="28"/>
        </w:rPr>
        <w:t>（二）标准制定工作概况（任务来源、主要工作过程等）</w:t>
      </w:r>
    </w:p>
    <w:p w14:paraId="03A35555">
      <w:pPr>
        <w:spacing w:after="120" w:line="360" w:lineRule="auto"/>
        <w:ind w:firstLine="420"/>
      </w:pPr>
      <w:r>
        <w:rPr>
          <w:rFonts w:ascii="宋体" w:hAnsi="宋体" w:eastAsia="宋体"/>
          <w:b w:val="0"/>
          <w:sz w:val="24"/>
        </w:rPr>
        <w:t>（1）任务来源</w:t>
      </w:r>
    </w:p>
    <w:p w14:paraId="6754A4CC">
      <w:pPr>
        <w:spacing w:after="120" w:line="360" w:lineRule="auto"/>
        <w:ind w:firstLine="420"/>
      </w:pPr>
      <w:r>
        <w:rPr>
          <w:rFonts w:ascii="宋体" w:hAnsi="宋体" w:eastAsia="宋体"/>
          <w:b w:val="0"/>
          <w:sz w:val="24"/>
        </w:rPr>
        <w:t>本项目根据深圳市汽车产业联合会团体标准制定计划，项目名称为《功能型无人车 车辆及部件 术语和定义》的任务而进行制订。</w:t>
      </w:r>
    </w:p>
    <w:p w14:paraId="0CDA3F16">
      <w:pPr>
        <w:spacing w:after="120" w:line="360" w:lineRule="auto"/>
        <w:ind w:firstLine="420"/>
      </w:pPr>
      <w:r>
        <w:rPr>
          <w:rFonts w:ascii="宋体" w:hAnsi="宋体" w:eastAsia="宋体"/>
          <w:b w:val="0"/>
          <w:sz w:val="24"/>
        </w:rPr>
        <w:t>（2）主要工作过程</w:t>
      </w:r>
    </w:p>
    <w:p w14:paraId="0AA4BEBF">
      <w:pPr>
        <w:spacing w:after="120" w:line="360" w:lineRule="auto"/>
        <w:ind w:firstLine="420"/>
      </w:pPr>
      <w:r>
        <w:rPr>
          <w:rFonts w:ascii="宋体" w:hAnsi="宋体" w:eastAsia="宋体"/>
          <w:b w:val="0"/>
          <w:sz w:val="24"/>
        </w:rPr>
        <w:t>根据项目要求，组织开展起草工作，成立《功能型无人车 车辆及部件 术语和定义》团体标准起草小组。</w:t>
      </w:r>
    </w:p>
    <w:p w14:paraId="0A24D916">
      <w:pPr>
        <w:spacing w:after="120" w:line="360" w:lineRule="auto"/>
        <w:ind w:firstLine="420"/>
      </w:pPr>
      <w:r>
        <w:rPr>
          <w:rFonts w:ascii="宋体" w:hAnsi="宋体" w:eastAsia="宋体"/>
          <w:b w:val="0"/>
          <w:sz w:val="24"/>
        </w:rPr>
        <w:t>起草小组在资料分析和企业调研的基础上，确定功能型无人车术语和定义的范围，并依据现有国家标准、行业标准和相关技术文献确定术语体系框架，进行标准主要技术内容的编写。标准起草工作组成员结合标准制定工作程序的各个环节，进行了探讨和研究，收集、整理国内外相关技术资料，对比国内相关技术标准，确定标准制定思路和重点问题要求。同时，起草小组制定了标准编制工作计划、编写大纲，明确任务分工及各阶段进度时间。</w:t>
      </w:r>
    </w:p>
    <w:p w14:paraId="0F975707">
      <w:pPr>
        <w:spacing w:after="120" w:line="360" w:lineRule="auto"/>
        <w:ind w:firstLine="420"/>
      </w:pPr>
      <w:r>
        <w:rPr>
          <w:rFonts w:ascii="宋体" w:hAnsi="宋体" w:eastAsia="宋体"/>
          <w:b w:val="0"/>
          <w:sz w:val="24"/>
        </w:rPr>
        <w:t>标准起草小组经过技术调研、咨询，收集、整理有关资料，编写完成了团体标准《功能型无人车 车辆及部件 术语和定义》草案。随后，经研究讨论，形成征求意见稿，公开征求意见。</w:t>
      </w:r>
    </w:p>
    <w:p w14:paraId="7F2212A0">
      <w:pPr>
        <w:spacing w:before="240" w:after="120" w:line="360" w:lineRule="auto"/>
      </w:pPr>
      <w:r>
        <w:rPr>
          <w:rFonts w:ascii="黑体" w:hAnsi="黑体" w:eastAsia="黑体"/>
          <w:b/>
          <w:sz w:val="28"/>
        </w:rPr>
        <w:t>（三）标准编制的原则和依据</w:t>
      </w:r>
    </w:p>
    <w:p w14:paraId="480CF388">
      <w:pPr>
        <w:spacing w:after="120" w:line="360" w:lineRule="auto"/>
        <w:ind w:firstLine="420"/>
      </w:pPr>
      <w:r>
        <w:rPr>
          <w:rFonts w:ascii="宋体" w:hAnsi="宋体" w:eastAsia="宋体"/>
          <w:b w:val="0"/>
          <w:sz w:val="24"/>
        </w:rPr>
        <w:t>（1）编制原则</w:t>
      </w:r>
    </w:p>
    <w:p w14:paraId="51560374">
      <w:pPr>
        <w:spacing w:after="120" w:line="360" w:lineRule="auto"/>
        <w:ind w:firstLine="420"/>
      </w:pPr>
      <w:r>
        <w:rPr>
          <w:rFonts w:ascii="宋体" w:hAnsi="宋体" w:eastAsia="宋体"/>
          <w:b w:val="0"/>
          <w:sz w:val="24"/>
        </w:rPr>
        <w:t>标准起草小组在编制标准过程中，以国家、行业现有的标准为制订基础，结合我国目前功能型无人车行业现状，按照GB/T 1.1—2020《标准化工作导则 第1部分：标准化文件的结构和起草规则》的规定及相关要求编制。</w:t>
      </w:r>
    </w:p>
    <w:p w14:paraId="3BC5A08F">
      <w:pPr>
        <w:spacing w:after="120" w:line="360" w:lineRule="auto"/>
        <w:ind w:firstLine="420"/>
      </w:pPr>
      <w:r>
        <w:rPr>
          <w:rFonts w:ascii="宋体" w:hAnsi="宋体" w:eastAsia="宋体"/>
          <w:b w:val="0"/>
          <w:sz w:val="24"/>
        </w:rPr>
        <w:t>（2）确定标准主要内容的依据</w:t>
      </w:r>
    </w:p>
    <w:p w14:paraId="65105278">
      <w:pPr>
        <w:spacing w:after="120" w:line="360" w:lineRule="auto"/>
        <w:ind w:firstLine="420"/>
      </w:pPr>
      <w:r>
        <w:rPr>
          <w:rFonts w:ascii="宋体" w:hAnsi="宋体" w:eastAsia="宋体"/>
          <w:b w:val="0"/>
          <w:sz w:val="24"/>
        </w:rPr>
        <w:t>《功能型无人车 车辆及部件 术语和定义》的主要内容依据包括：国家法律法规和政策要求，以确保合法性与合规性；行业实践和需求，以贴合功能型无人车产业现状和企业实际；利益相关方的意见和建议，以确保标准的实用性和权威性。同时，遵循标准化工作导则进行起草，保证了标准的结构和内容符合标准化文件的要求。这些依据共同确保了标准的科学性、合理性和可操作性，为功能型无人车行业术语的统一提供了全面指导。</w:t>
      </w:r>
    </w:p>
    <w:p w14:paraId="30FBD03B">
      <w:pPr>
        <w:spacing w:before="240" w:after="120" w:line="360" w:lineRule="auto"/>
      </w:pPr>
      <w:r>
        <w:rPr>
          <w:rFonts w:ascii="黑体" w:hAnsi="黑体" w:eastAsia="黑体"/>
          <w:b/>
          <w:sz w:val="28"/>
        </w:rPr>
        <w:t>（四）标准的主要内容、技术论证与效果（如技术指标、参数、公式、性能要求、实验方法、检验规则等，修订标准时应增加新、旧标准水平的对比）</w:t>
      </w:r>
    </w:p>
    <w:p w14:paraId="1100F782">
      <w:pPr>
        <w:spacing w:after="120" w:line="360" w:lineRule="auto"/>
        <w:ind w:firstLine="420"/>
      </w:pPr>
      <w:r>
        <w:rPr>
          <w:rFonts w:ascii="宋体" w:hAnsi="宋体" w:eastAsia="宋体"/>
          <w:b w:val="0"/>
          <w:sz w:val="24"/>
        </w:rPr>
        <w:t>1. 标准主要内容</w:t>
      </w:r>
    </w:p>
    <w:p w14:paraId="58CEC403">
      <w:pPr>
        <w:spacing w:after="120" w:line="360" w:lineRule="auto"/>
        <w:ind w:firstLine="420"/>
      </w:pPr>
      <w:r>
        <w:rPr>
          <w:rFonts w:ascii="宋体" w:hAnsi="宋体" w:eastAsia="宋体"/>
          <w:b w:val="0"/>
          <w:sz w:val="24"/>
        </w:rPr>
        <w:t>（1）范围</w:t>
      </w:r>
    </w:p>
    <w:p w14:paraId="4C55B867">
      <w:pPr>
        <w:spacing w:after="120" w:line="360" w:lineRule="auto"/>
        <w:ind w:firstLine="420"/>
      </w:pPr>
      <w:r>
        <w:rPr>
          <w:rFonts w:ascii="宋体" w:hAnsi="宋体" w:eastAsia="宋体"/>
          <w:b w:val="0"/>
          <w:sz w:val="24"/>
        </w:rPr>
        <w:t>本文件界定了功能型无人车基础通用、关键技术、质量和速度、开发测试以及示范应用相关的术语和定义。本文件适用于功能型无人车。</w:t>
      </w:r>
    </w:p>
    <w:p w14:paraId="68AF9A93">
      <w:pPr>
        <w:spacing w:after="120" w:line="360" w:lineRule="auto"/>
        <w:ind w:firstLine="420"/>
      </w:pPr>
      <w:r>
        <w:rPr>
          <w:rFonts w:ascii="宋体" w:hAnsi="宋体" w:eastAsia="宋体"/>
          <w:b w:val="0"/>
          <w:sz w:val="24"/>
        </w:rPr>
        <w:t>（2）规范性引用文件</w:t>
      </w:r>
    </w:p>
    <w:p w14:paraId="108B0C83">
      <w:pPr>
        <w:spacing w:after="120" w:line="360" w:lineRule="auto"/>
        <w:ind w:firstLine="420"/>
      </w:pPr>
      <w:r>
        <w:rPr>
          <w:rFonts w:ascii="宋体" w:hAnsi="宋体" w:eastAsia="宋体"/>
          <w:b w:val="0"/>
          <w:sz w:val="24"/>
        </w:rPr>
        <w:t>本文件没有规范性引用文件。</w:t>
      </w:r>
    </w:p>
    <w:p w14:paraId="4B7742C1">
      <w:pPr>
        <w:spacing w:after="120" w:line="360" w:lineRule="auto"/>
        <w:ind w:firstLine="420"/>
      </w:pPr>
      <w:r>
        <w:rPr>
          <w:rFonts w:ascii="宋体" w:hAnsi="宋体" w:eastAsia="宋体"/>
          <w:b w:val="0"/>
          <w:sz w:val="24"/>
        </w:rPr>
        <w:t>（3）基础通用术语</w:t>
      </w:r>
    </w:p>
    <w:p w14:paraId="400DAA39">
      <w:pPr>
        <w:spacing w:after="120" w:line="360" w:lineRule="auto"/>
        <w:ind w:firstLine="420"/>
      </w:pPr>
      <w:r>
        <w:rPr>
          <w:rFonts w:ascii="宋体" w:hAnsi="宋体" w:eastAsia="宋体"/>
          <w:b w:val="0"/>
          <w:sz w:val="24"/>
        </w:rPr>
        <w:t>定义了功能型无人车、无人驾驶等基础概念，以及目标和事件探测与响应（OEDR）、最小风险状态（MRC）、最小风险策略（MRM）、动态任务后援、设计运行范围（ODD）、干预、介入请求、接管等无人驾驶相关术语。同时，界定了信息安全及其相关属性，包括保密性、完整性、可用性、真实性、抗抵赖性、可靠性等术语。</w:t>
      </w:r>
    </w:p>
    <w:p w14:paraId="03121DCA">
      <w:pPr>
        <w:spacing w:after="120" w:line="360" w:lineRule="auto"/>
        <w:ind w:firstLine="420"/>
      </w:pPr>
      <w:r>
        <w:rPr>
          <w:rFonts w:ascii="宋体" w:hAnsi="宋体" w:eastAsia="宋体"/>
          <w:b w:val="0"/>
          <w:sz w:val="24"/>
        </w:rPr>
        <w:t>（4）关键技术术语</w:t>
      </w:r>
    </w:p>
    <w:p w14:paraId="689905A2">
      <w:pPr>
        <w:spacing w:after="120" w:line="360" w:lineRule="auto"/>
        <w:ind w:firstLine="420"/>
      </w:pPr>
      <w:r>
        <w:rPr>
          <w:rFonts w:ascii="宋体" w:hAnsi="宋体" w:eastAsia="宋体"/>
          <w:b w:val="0"/>
          <w:sz w:val="24"/>
        </w:rPr>
        <w:t>定义了感知、预测、定位、决策、规划、运动控制、在线升级（OTA）等核心技术术语。同时，界定了人工智能系统相关术语，包括大模型、机器学习、模型训练、模型优化、神经网络、深度学习等。</w:t>
      </w:r>
    </w:p>
    <w:p w14:paraId="19849935">
      <w:pPr>
        <w:spacing w:after="120" w:line="360" w:lineRule="auto"/>
        <w:ind w:firstLine="420"/>
      </w:pPr>
      <w:r>
        <w:rPr>
          <w:rFonts w:ascii="宋体" w:hAnsi="宋体" w:eastAsia="宋体"/>
          <w:b w:val="0"/>
          <w:sz w:val="24"/>
        </w:rPr>
        <w:t>（5）系统部件术语</w:t>
      </w:r>
    </w:p>
    <w:p w14:paraId="34F062CE">
      <w:pPr>
        <w:spacing w:after="120" w:line="360" w:lineRule="auto"/>
        <w:ind w:firstLine="420"/>
      </w:pPr>
      <w:r>
        <w:rPr>
          <w:rFonts w:ascii="宋体" w:hAnsi="宋体" w:eastAsia="宋体"/>
          <w:b w:val="0"/>
          <w:sz w:val="24"/>
        </w:rPr>
        <w:t>定义了无人车自动化系统、云控基础平台、车载计算平台、车载通信单元（OBU）等系统级部件术语，以及摄像头、激光雷达、毫米波雷达、超声波传感器等传感器部件术语。</w:t>
      </w:r>
    </w:p>
    <w:p w14:paraId="3B7690E5">
      <w:pPr>
        <w:spacing w:after="120" w:line="360" w:lineRule="auto"/>
        <w:ind w:firstLine="420"/>
      </w:pPr>
      <w:r>
        <w:rPr>
          <w:rFonts w:ascii="宋体" w:hAnsi="宋体" w:eastAsia="宋体"/>
          <w:b w:val="0"/>
          <w:sz w:val="24"/>
        </w:rPr>
        <w:t>（6）质量和速度术语</w:t>
      </w:r>
    </w:p>
    <w:p w14:paraId="661918ED">
      <w:pPr>
        <w:spacing w:after="120" w:line="360" w:lineRule="auto"/>
        <w:ind w:firstLine="420"/>
      </w:pPr>
      <w:r>
        <w:rPr>
          <w:rFonts w:ascii="宋体" w:hAnsi="宋体" w:eastAsia="宋体"/>
          <w:b w:val="0"/>
          <w:sz w:val="24"/>
        </w:rPr>
        <w:t>定义了整备质量、最大允许总质量、最大装载质量、最高设计时速、最高行驶速度等与车辆质量和速度相关的术语。</w:t>
      </w:r>
    </w:p>
    <w:p w14:paraId="5162F6AB">
      <w:pPr>
        <w:spacing w:after="120" w:line="360" w:lineRule="auto"/>
        <w:ind w:firstLine="420"/>
      </w:pPr>
      <w:r>
        <w:rPr>
          <w:rFonts w:ascii="宋体" w:hAnsi="宋体" w:eastAsia="宋体"/>
          <w:b w:val="0"/>
          <w:sz w:val="24"/>
        </w:rPr>
        <w:t>（7）开发测试术语</w:t>
      </w:r>
    </w:p>
    <w:p w14:paraId="6BB61B1E">
      <w:pPr>
        <w:spacing w:after="120" w:line="360" w:lineRule="auto"/>
        <w:ind w:firstLine="420"/>
      </w:pPr>
      <w:r>
        <w:rPr>
          <w:rFonts w:ascii="宋体" w:hAnsi="宋体" w:eastAsia="宋体"/>
          <w:b w:val="0"/>
          <w:sz w:val="24"/>
        </w:rPr>
        <w:t>定义了功能任务、动态任务、试验车辆（VUT）、目标车辆（VT）、试验场景等测试相关术语，以及道路测试、仿真测试、封闭场地测试、公开道路测试、功能任务测试、云控基础平台测试等测试类型术语。</w:t>
      </w:r>
    </w:p>
    <w:p w14:paraId="224102CE">
      <w:pPr>
        <w:spacing w:after="120" w:line="360" w:lineRule="auto"/>
        <w:ind w:firstLine="420"/>
      </w:pPr>
      <w:r>
        <w:rPr>
          <w:rFonts w:ascii="宋体" w:hAnsi="宋体" w:eastAsia="宋体"/>
          <w:b w:val="0"/>
          <w:sz w:val="24"/>
        </w:rPr>
        <w:t>（8）示范应用术语</w:t>
      </w:r>
    </w:p>
    <w:p w14:paraId="4E50241E">
      <w:pPr>
        <w:spacing w:after="120" w:line="360" w:lineRule="auto"/>
        <w:ind w:firstLine="420"/>
      </w:pPr>
      <w:r>
        <w:rPr>
          <w:rFonts w:ascii="宋体" w:hAnsi="宋体" w:eastAsia="宋体"/>
          <w:b w:val="0"/>
          <w:sz w:val="24"/>
        </w:rPr>
        <w:t>定义了示范应用、示范应用主体、用户等基础术语，以及调度员、安全员等人员角色术语。</w:t>
      </w:r>
    </w:p>
    <w:p w14:paraId="00EE13B6">
      <w:pPr>
        <w:spacing w:after="120" w:line="360" w:lineRule="auto"/>
        <w:ind w:firstLine="420"/>
      </w:pPr>
      <w:r>
        <w:rPr>
          <w:rFonts w:ascii="宋体" w:hAnsi="宋体" w:eastAsia="宋体"/>
          <w:b w:val="0"/>
          <w:sz w:val="24"/>
        </w:rPr>
        <w:t>2. 技术论证与效果</w:t>
      </w:r>
    </w:p>
    <w:p w14:paraId="407D132F">
      <w:pPr>
        <w:spacing w:after="120" w:line="360" w:lineRule="auto"/>
        <w:ind w:firstLine="420"/>
      </w:pPr>
      <w:r>
        <w:rPr>
          <w:rFonts w:ascii="宋体" w:hAnsi="宋体" w:eastAsia="宋体"/>
          <w:b w:val="0"/>
          <w:sz w:val="24"/>
        </w:rPr>
        <w:t>从技术角度看，本标准所定义的术语体系涵盖了功能型无人车的各个技术层面，包括基础通用概念、关键技术、系统部件、质量速度参数、开发测试方法和示范应用等，形成了完整的术语框架。术语定义参考了GB/T 41867—2022《信息技术 人工智能 术语》、GB/T 44373—2024</w:t>
      </w:r>
      <w:r>
        <w:rPr>
          <w:rFonts w:hint="eastAsia" w:ascii="宋体" w:hAnsi="宋体" w:eastAsia="宋体"/>
          <w:b w:val="0"/>
          <w:sz w:val="24"/>
          <w:lang w:eastAsia="zh-CN"/>
        </w:rPr>
        <w:t>《</w:t>
      </w:r>
      <w:r>
        <w:rPr>
          <w:rFonts w:hint="eastAsia" w:ascii="宋体" w:hAnsi="宋体" w:eastAsia="宋体" w:cstheme="minorBidi"/>
          <w:b w:val="0"/>
          <w:sz w:val="24"/>
          <w:szCs w:val="22"/>
          <w:lang w:val="en-US" w:eastAsia="zh-CN" w:bidi="ar-SA"/>
        </w:rPr>
        <w:fldChar w:fldCharType="begin"/>
      </w:r>
      <w:r>
        <w:rPr>
          <w:rFonts w:hint="eastAsia" w:ascii="宋体" w:hAnsi="宋体" w:eastAsia="宋体" w:cstheme="minorBidi"/>
          <w:b w:val="0"/>
          <w:sz w:val="24"/>
          <w:szCs w:val="22"/>
          <w:lang w:val="en-US" w:eastAsia="zh-CN" w:bidi="ar-SA"/>
        </w:rPr>
        <w:instrText xml:space="preserve"> HYPERLINK "https://std.samr.gov.cn/gb/search/gbDetailed?id=208E903AB6E479F3E06397BE0A0AB2B9" \t "https://std.samr.gov.cn/search/stdPage?q=GB/_blank" </w:instrText>
      </w:r>
      <w:r>
        <w:rPr>
          <w:rFonts w:hint="eastAsia" w:ascii="宋体" w:hAnsi="宋体" w:eastAsia="宋体" w:cstheme="minorBidi"/>
          <w:b w:val="0"/>
          <w:sz w:val="24"/>
          <w:szCs w:val="22"/>
          <w:lang w:val="en-US" w:eastAsia="zh-CN" w:bidi="ar-SA"/>
        </w:rPr>
        <w:fldChar w:fldCharType="separate"/>
      </w:r>
      <w:r>
        <w:rPr>
          <w:rFonts w:hint="default" w:ascii="宋体" w:hAnsi="宋体" w:eastAsia="宋体" w:cstheme="minorBidi"/>
          <w:b w:val="0"/>
          <w:sz w:val="24"/>
          <w:szCs w:val="22"/>
          <w:lang w:val="en-US" w:eastAsia="zh-CN" w:bidi="ar-SA"/>
        </w:rPr>
        <w:t>智能网联汽车 术语和定义</w:t>
      </w:r>
      <w:r>
        <w:rPr>
          <w:rFonts w:hint="default" w:ascii="宋体" w:hAnsi="宋体" w:eastAsia="宋体" w:cstheme="minorBidi"/>
          <w:b w:val="0"/>
          <w:sz w:val="24"/>
          <w:szCs w:val="22"/>
          <w:lang w:val="en-US" w:eastAsia="zh-CN" w:bidi="ar-SA"/>
        </w:rPr>
        <w:fldChar w:fldCharType="end"/>
      </w:r>
      <w:r>
        <w:rPr>
          <w:rFonts w:hint="eastAsia" w:ascii="宋体" w:hAnsi="宋体" w:eastAsia="宋体"/>
          <w:b w:val="0"/>
          <w:sz w:val="24"/>
          <w:lang w:eastAsia="zh-CN"/>
        </w:rPr>
        <w:t>》</w:t>
      </w:r>
      <w:r>
        <w:rPr>
          <w:rFonts w:ascii="宋体" w:hAnsi="宋体" w:eastAsia="宋体"/>
          <w:b w:val="0"/>
          <w:sz w:val="24"/>
        </w:rPr>
        <w:t>、GB/T 45288.1—2025</w:t>
      </w:r>
      <w:r>
        <w:rPr>
          <w:rFonts w:hint="eastAsia" w:ascii="宋体" w:hAnsi="宋体" w:eastAsia="宋体"/>
          <w:b w:val="0"/>
          <w:sz w:val="24"/>
          <w:lang w:eastAsia="zh-CN"/>
        </w:rPr>
        <w:t>《</w:t>
      </w:r>
      <w:r>
        <w:rPr>
          <w:rFonts w:hint="eastAsia" w:ascii="宋体" w:hAnsi="宋体" w:eastAsia="宋体" w:cstheme="minorBidi"/>
          <w:b w:val="0"/>
          <w:sz w:val="24"/>
          <w:szCs w:val="22"/>
          <w:lang w:val="en-US" w:eastAsia="zh-CN" w:bidi="ar-SA"/>
        </w:rPr>
        <w:fldChar w:fldCharType="begin"/>
      </w:r>
      <w:r>
        <w:rPr>
          <w:rFonts w:hint="eastAsia" w:ascii="宋体" w:hAnsi="宋体" w:eastAsia="宋体" w:cstheme="minorBidi"/>
          <w:b w:val="0"/>
          <w:sz w:val="24"/>
          <w:szCs w:val="22"/>
          <w:lang w:val="en-US" w:eastAsia="zh-CN" w:bidi="ar-SA"/>
        </w:rPr>
        <w:instrText xml:space="preserve"> HYPERLINK "https://std.samr.gov.cn/gb/search/gbDetailed?id=2FF37940EB12D753E06397BE0A0A413F" \t "https://std.samr.gov.cn/search/_blank" </w:instrText>
      </w:r>
      <w:r>
        <w:rPr>
          <w:rFonts w:hint="eastAsia" w:ascii="宋体" w:hAnsi="宋体" w:eastAsia="宋体" w:cstheme="minorBidi"/>
          <w:b w:val="0"/>
          <w:sz w:val="24"/>
          <w:szCs w:val="22"/>
          <w:lang w:val="en-US" w:eastAsia="zh-CN" w:bidi="ar-SA"/>
        </w:rPr>
        <w:fldChar w:fldCharType="separate"/>
      </w:r>
      <w:r>
        <w:rPr>
          <w:rFonts w:hint="default" w:ascii="宋体" w:hAnsi="宋体" w:eastAsia="宋体" w:cstheme="minorBidi"/>
          <w:b w:val="0"/>
          <w:sz w:val="24"/>
          <w:szCs w:val="22"/>
          <w:lang w:val="en-US" w:eastAsia="zh-CN" w:bidi="ar-SA"/>
        </w:rPr>
        <w:t>人工智能 大模型 第1部分：通用要求</w:t>
      </w:r>
      <w:r>
        <w:rPr>
          <w:rFonts w:hint="default" w:ascii="宋体" w:hAnsi="宋体" w:eastAsia="宋体" w:cstheme="minorBidi"/>
          <w:b w:val="0"/>
          <w:sz w:val="24"/>
          <w:szCs w:val="22"/>
          <w:lang w:val="en-US" w:eastAsia="zh-CN" w:bidi="ar-SA"/>
        </w:rPr>
        <w:fldChar w:fldCharType="end"/>
      </w:r>
      <w:r>
        <w:rPr>
          <w:rFonts w:hint="eastAsia" w:ascii="宋体" w:hAnsi="宋体" w:eastAsia="宋体"/>
          <w:b w:val="0"/>
          <w:sz w:val="24"/>
          <w:lang w:eastAsia="zh-CN"/>
        </w:rPr>
        <w:t>》、</w:t>
      </w:r>
      <w:r>
        <w:rPr>
          <w:rFonts w:hint="eastAsia" w:ascii="宋体" w:hAnsi="宋体" w:eastAsia="宋体" w:cstheme="minorBidi"/>
          <w:b w:val="0"/>
          <w:sz w:val="24"/>
          <w:szCs w:val="22"/>
          <w:lang w:val="en-US" w:eastAsia="zh-CN" w:bidi="ar-SA"/>
        </w:rPr>
        <w:fldChar w:fldCharType="begin"/>
      </w:r>
      <w:r>
        <w:rPr>
          <w:rFonts w:hint="eastAsia" w:ascii="宋体" w:hAnsi="宋体" w:eastAsia="宋体" w:cstheme="minorBidi"/>
          <w:b w:val="0"/>
          <w:sz w:val="24"/>
          <w:szCs w:val="22"/>
          <w:lang w:val="en-US" w:eastAsia="zh-CN" w:bidi="ar-SA"/>
        </w:rPr>
        <w:instrText xml:space="preserve"> HYPERLINK "https://std.samr.gov.cn/gb/search/gbDetailed?id=71F772D7A2FCD3A7E05397BE0A0AB82A" \t "https://std.samr.gov.cn/search/stdPage?q=GB/_blank" </w:instrText>
      </w:r>
      <w:r>
        <w:rPr>
          <w:rFonts w:hint="eastAsia" w:ascii="宋体" w:hAnsi="宋体" w:eastAsia="宋体" w:cstheme="minorBidi"/>
          <w:b w:val="0"/>
          <w:sz w:val="24"/>
          <w:szCs w:val="22"/>
          <w:lang w:val="en-US" w:eastAsia="zh-CN" w:bidi="ar-SA"/>
        </w:rPr>
        <w:fldChar w:fldCharType="separate"/>
      </w:r>
      <w:r>
        <w:rPr>
          <w:rFonts w:hint="default" w:ascii="宋体" w:hAnsi="宋体" w:eastAsia="宋体" w:cstheme="minorBidi"/>
          <w:b w:val="0"/>
          <w:sz w:val="24"/>
          <w:szCs w:val="22"/>
          <w:lang w:val="en-US" w:eastAsia="zh-CN" w:bidi="ar-SA"/>
        </w:rPr>
        <w:t>GB/T 3730.2-1996</w:t>
      </w:r>
      <w:r>
        <w:rPr>
          <w:rFonts w:hint="eastAsia" w:ascii="宋体" w:hAnsi="宋体" w:eastAsia="宋体" w:cstheme="minorBidi"/>
          <w:b w:val="0"/>
          <w:sz w:val="24"/>
          <w:szCs w:val="22"/>
          <w:lang w:val="en-US" w:eastAsia="zh-CN" w:bidi="ar-SA"/>
        </w:rPr>
        <w:t>《</w:t>
      </w:r>
      <w:r>
        <w:rPr>
          <w:rFonts w:hint="default" w:ascii="宋体" w:hAnsi="宋体" w:eastAsia="宋体" w:cstheme="minorBidi"/>
          <w:b w:val="0"/>
          <w:sz w:val="24"/>
          <w:szCs w:val="22"/>
          <w:lang w:val="en-US" w:eastAsia="zh-CN" w:bidi="ar-SA"/>
        </w:rPr>
        <w:t>道路车辆 质量 词汇和代码</w:t>
      </w:r>
      <w:r>
        <w:rPr>
          <w:rFonts w:hint="default" w:ascii="宋体" w:hAnsi="宋体" w:eastAsia="宋体" w:cstheme="minorBidi"/>
          <w:b w:val="0"/>
          <w:sz w:val="24"/>
          <w:szCs w:val="22"/>
          <w:lang w:val="en-US" w:eastAsia="zh-CN" w:bidi="ar-SA"/>
        </w:rPr>
        <w:fldChar w:fldCharType="end"/>
      </w:r>
      <w:r>
        <w:rPr>
          <w:rFonts w:hint="eastAsia" w:ascii="宋体" w:hAnsi="宋体" w:eastAsia="宋体" w:cstheme="minorBidi"/>
          <w:b w:val="0"/>
          <w:sz w:val="24"/>
          <w:szCs w:val="22"/>
          <w:lang w:val="en-US" w:eastAsia="zh-CN" w:bidi="ar-SA"/>
        </w:rPr>
        <w:t>》</w:t>
      </w:r>
      <w:r>
        <w:rPr>
          <w:rFonts w:ascii="宋体" w:hAnsi="宋体" w:eastAsia="宋体"/>
          <w:b w:val="0"/>
          <w:sz w:val="24"/>
        </w:rPr>
        <w:t>等国家标准，确保了术语的科学性和权威性。</w:t>
      </w:r>
    </w:p>
    <w:p w14:paraId="16B0C823">
      <w:pPr>
        <w:spacing w:after="120" w:line="360" w:lineRule="auto"/>
        <w:ind w:firstLine="420"/>
      </w:pPr>
      <w:r>
        <w:rPr>
          <w:rFonts w:ascii="宋体" w:hAnsi="宋体" w:eastAsia="宋体"/>
          <w:b w:val="0"/>
          <w:sz w:val="24"/>
        </w:rPr>
        <w:t>实施本标准预计将显著提升功能型无人车行业的规范化水平，促进企业间的技术交流与合作，降低因术语不统一带来的沟通成本和误解风险。同时，统一的术语体系将为产品测试认证、行业监管和政策制定提供基础支撑，推动功能型无人车产业的健康发展，为深圳市乃至全国智能网联汽车产业的创新发展注入新动力。</w:t>
      </w:r>
    </w:p>
    <w:p w14:paraId="4C93F5AC">
      <w:pPr>
        <w:spacing w:before="240" w:after="120" w:line="360" w:lineRule="auto"/>
        <w:rPr>
          <w:sz w:val="30"/>
          <w:szCs w:val="30"/>
        </w:rPr>
      </w:pPr>
      <w:r>
        <w:rPr>
          <w:rFonts w:ascii="黑体" w:hAnsi="黑体" w:eastAsia="黑体"/>
          <w:b/>
          <w:sz w:val="28"/>
        </w:rPr>
        <w:t>（五）采用国际标准的程序及水平的简要说明</w:t>
      </w:r>
    </w:p>
    <w:p w14:paraId="3D01E6F9">
      <w:pPr>
        <w:spacing w:after="120" w:line="360" w:lineRule="auto"/>
        <w:ind w:firstLine="420"/>
      </w:pPr>
      <w:r>
        <w:rPr>
          <w:rFonts w:ascii="宋体" w:hAnsi="宋体" w:eastAsia="宋体"/>
          <w:b w:val="0"/>
          <w:sz w:val="24"/>
        </w:rPr>
        <w:t>本项目未采用国际标准。</w:t>
      </w:r>
    </w:p>
    <w:p w14:paraId="276FD65B">
      <w:pPr>
        <w:spacing w:before="240" w:after="120" w:line="360" w:lineRule="auto"/>
      </w:pPr>
      <w:r>
        <w:rPr>
          <w:rFonts w:ascii="黑体" w:hAnsi="黑体" w:eastAsia="黑体"/>
          <w:b/>
          <w:sz w:val="28"/>
        </w:rPr>
        <w:t>（六）与有关的现行法律、法规和国家、行业标准的关系</w:t>
      </w:r>
    </w:p>
    <w:p w14:paraId="1684466F">
      <w:pPr>
        <w:spacing w:after="120" w:line="360" w:lineRule="auto"/>
        <w:ind w:firstLine="420"/>
      </w:pPr>
      <w:r>
        <w:rPr>
          <w:rFonts w:ascii="宋体" w:hAnsi="宋体" w:eastAsia="宋体"/>
          <w:b w:val="0"/>
          <w:sz w:val="24"/>
        </w:rPr>
        <w:t>本标准的制定过程、术语定义的选定等符合现行法律、法规和强制性国家标准的规定。本标准引用了GB/T 41867—2022《信息技术 人工智能 术语》、GB/T 44373—2024</w:t>
      </w:r>
      <w:r>
        <w:rPr>
          <w:rFonts w:hint="eastAsia" w:ascii="宋体" w:hAnsi="宋体" w:eastAsia="宋体"/>
          <w:b w:val="0"/>
          <w:sz w:val="24"/>
          <w:lang w:eastAsia="zh-CN"/>
        </w:rPr>
        <w:t>《</w:t>
      </w:r>
      <w:r>
        <w:rPr>
          <w:rFonts w:hint="eastAsia" w:ascii="宋体" w:hAnsi="宋体" w:eastAsia="宋体" w:cstheme="minorBidi"/>
          <w:b w:val="0"/>
          <w:sz w:val="24"/>
          <w:szCs w:val="22"/>
          <w:lang w:val="en-US" w:eastAsia="zh-CN" w:bidi="ar-SA"/>
        </w:rPr>
        <w:fldChar w:fldCharType="begin"/>
      </w:r>
      <w:r>
        <w:rPr>
          <w:rFonts w:hint="eastAsia" w:ascii="宋体" w:hAnsi="宋体" w:eastAsia="宋体" w:cstheme="minorBidi"/>
          <w:b w:val="0"/>
          <w:sz w:val="24"/>
          <w:szCs w:val="22"/>
          <w:lang w:val="en-US" w:eastAsia="zh-CN" w:bidi="ar-SA"/>
        </w:rPr>
        <w:instrText xml:space="preserve"> HYPERLINK "https://std.samr.gov.cn/gb/search/gbDetailed?id=208E903AB6E479F3E06397BE0A0AB2B9" \t "https://std.samr.gov.cn/search/stdPage?q=GB/_blank" </w:instrText>
      </w:r>
      <w:r>
        <w:rPr>
          <w:rFonts w:hint="eastAsia" w:ascii="宋体" w:hAnsi="宋体" w:eastAsia="宋体" w:cstheme="minorBidi"/>
          <w:b w:val="0"/>
          <w:sz w:val="24"/>
          <w:szCs w:val="22"/>
          <w:lang w:val="en-US" w:eastAsia="zh-CN" w:bidi="ar-SA"/>
        </w:rPr>
        <w:fldChar w:fldCharType="separate"/>
      </w:r>
      <w:r>
        <w:rPr>
          <w:rFonts w:hint="default" w:ascii="宋体" w:hAnsi="宋体" w:eastAsia="宋体" w:cstheme="minorBidi"/>
          <w:b w:val="0"/>
          <w:sz w:val="24"/>
          <w:szCs w:val="22"/>
          <w:lang w:val="en-US" w:eastAsia="zh-CN" w:bidi="ar-SA"/>
        </w:rPr>
        <w:t>智能网联汽车 术语和定义</w:t>
      </w:r>
      <w:r>
        <w:rPr>
          <w:rFonts w:hint="default" w:ascii="宋体" w:hAnsi="宋体" w:eastAsia="宋体" w:cstheme="minorBidi"/>
          <w:b w:val="0"/>
          <w:sz w:val="24"/>
          <w:szCs w:val="22"/>
          <w:lang w:val="en-US" w:eastAsia="zh-CN" w:bidi="ar-SA"/>
        </w:rPr>
        <w:fldChar w:fldCharType="end"/>
      </w:r>
      <w:r>
        <w:rPr>
          <w:rFonts w:hint="eastAsia" w:ascii="宋体" w:hAnsi="宋体" w:eastAsia="宋体"/>
          <w:b w:val="0"/>
          <w:sz w:val="24"/>
          <w:lang w:eastAsia="zh-CN"/>
        </w:rPr>
        <w:t>》</w:t>
      </w:r>
      <w:r>
        <w:rPr>
          <w:rFonts w:ascii="宋体" w:hAnsi="宋体" w:eastAsia="宋体"/>
          <w:b w:val="0"/>
          <w:sz w:val="24"/>
        </w:rPr>
        <w:t>、GB/T 45288.1—2025</w:t>
      </w:r>
      <w:r>
        <w:rPr>
          <w:rFonts w:hint="eastAsia" w:ascii="宋体" w:hAnsi="宋体" w:eastAsia="宋体"/>
          <w:b w:val="0"/>
          <w:sz w:val="24"/>
          <w:lang w:eastAsia="zh-CN"/>
        </w:rPr>
        <w:t>《</w:t>
      </w:r>
      <w:r>
        <w:rPr>
          <w:rFonts w:hint="eastAsia" w:ascii="宋体" w:hAnsi="宋体" w:eastAsia="宋体" w:cstheme="minorBidi"/>
          <w:b w:val="0"/>
          <w:sz w:val="24"/>
          <w:szCs w:val="22"/>
          <w:lang w:val="en-US" w:eastAsia="zh-CN" w:bidi="ar-SA"/>
        </w:rPr>
        <w:fldChar w:fldCharType="begin"/>
      </w:r>
      <w:r>
        <w:rPr>
          <w:rFonts w:hint="eastAsia" w:ascii="宋体" w:hAnsi="宋体" w:eastAsia="宋体" w:cstheme="minorBidi"/>
          <w:b w:val="0"/>
          <w:sz w:val="24"/>
          <w:szCs w:val="22"/>
          <w:lang w:val="en-US" w:eastAsia="zh-CN" w:bidi="ar-SA"/>
        </w:rPr>
        <w:instrText xml:space="preserve"> HYPERLINK "https://std.samr.gov.cn/gb/search/gbDetailed?id=2FF37940EB12D753E06397BE0A0A413F" \t "https://std.samr.gov.cn/search/_blank" </w:instrText>
      </w:r>
      <w:r>
        <w:rPr>
          <w:rFonts w:hint="eastAsia" w:ascii="宋体" w:hAnsi="宋体" w:eastAsia="宋体" w:cstheme="minorBidi"/>
          <w:b w:val="0"/>
          <w:sz w:val="24"/>
          <w:szCs w:val="22"/>
          <w:lang w:val="en-US" w:eastAsia="zh-CN" w:bidi="ar-SA"/>
        </w:rPr>
        <w:fldChar w:fldCharType="separate"/>
      </w:r>
      <w:r>
        <w:rPr>
          <w:rFonts w:hint="default" w:ascii="宋体" w:hAnsi="宋体" w:eastAsia="宋体" w:cstheme="minorBidi"/>
          <w:b w:val="0"/>
          <w:sz w:val="24"/>
          <w:szCs w:val="22"/>
          <w:lang w:val="en-US" w:eastAsia="zh-CN" w:bidi="ar-SA"/>
        </w:rPr>
        <w:t>人工智能 大模型 第1部分：通用要求</w:t>
      </w:r>
      <w:r>
        <w:rPr>
          <w:rFonts w:hint="default" w:ascii="宋体" w:hAnsi="宋体" w:eastAsia="宋体" w:cstheme="minorBidi"/>
          <w:b w:val="0"/>
          <w:sz w:val="24"/>
          <w:szCs w:val="22"/>
          <w:lang w:val="en-US" w:eastAsia="zh-CN" w:bidi="ar-SA"/>
        </w:rPr>
        <w:fldChar w:fldCharType="end"/>
      </w:r>
      <w:r>
        <w:rPr>
          <w:rFonts w:hint="eastAsia" w:ascii="宋体" w:hAnsi="宋体" w:eastAsia="宋体"/>
          <w:b w:val="0"/>
          <w:sz w:val="24"/>
          <w:lang w:eastAsia="zh-CN"/>
        </w:rPr>
        <w:t>》、</w:t>
      </w:r>
      <w:r>
        <w:rPr>
          <w:rFonts w:hint="eastAsia" w:ascii="宋体" w:hAnsi="宋体" w:eastAsia="宋体" w:cstheme="minorBidi"/>
          <w:b w:val="0"/>
          <w:sz w:val="24"/>
          <w:szCs w:val="22"/>
          <w:lang w:val="en-US" w:eastAsia="zh-CN" w:bidi="ar-SA"/>
        </w:rPr>
        <w:fldChar w:fldCharType="begin"/>
      </w:r>
      <w:r>
        <w:rPr>
          <w:rFonts w:hint="eastAsia" w:ascii="宋体" w:hAnsi="宋体" w:eastAsia="宋体" w:cstheme="minorBidi"/>
          <w:b w:val="0"/>
          <w:sz w:val="24"/>
          <w:szCs w:val="22"/>
          <w:lang w:val="en-US" w:eastAsia="zh-CN" w:bidi="ar-SA"/>
        </w:rPr>
        <w:instrText xml:space="preserve"> HYPERLINK "https://std.samr.gov.cn/gb/search/gbDetailed?id=71F772D7A2FCD3A7E05397BE0A0AB82A" \t "https://std.samr.gov.cn/search/stdPage?q=GB/_blank" </w:instrText>
      </w:r>
      <w:r>
        <w:rPr>
          <w:rFonts w:hint="eastAsia" w:ascii="宋体" w:hAnsi="宋体" w:eastAsia="宋体" w:cstheme="minorBidi"/>
          <w:b w:val="0"/>
          <w:sz w:val="24"/>
          <w:szCs w:val="22"/>
          <w:lang w:val="en-US" w:eastAsia="zh-CN" w:bidi="ar-SA"/>
        </w:rPr>
        <w:fldChar w:fldCharType="separate"/>
      </w:r>
      <w:r>
        <w:rPr>
          <w:rFonts w:hint="default" w:ascii="宋体" w:hAnsi="宋体" w:eastAsia="宋体" w:cstheme="minorBidi"/>
          <w:b w:val="0"/>
          <w:sz w:val="24"/>
          <w:szCs w:val="22"/>
          <w:lang w:val="en-US" w:eastAsia="zh-CN" w:bidi="ar-SA"/>
        </w:rPr>
        <w:t>GB/T 3730.2-1996</w:t>
      </w:r>
      <w:r>
        <w:rPr>
          <w:rFonts w:hint="eastAsia" w:ascii="宋体" w:hAnsi="宋体" w:eastAsia="宋体" w:cstheme="minorBidi"/>
          <w:b w:val="0"/>
          <w:sz w:val="24"/>
          <w:szCs w:val="22"/>
          <w:lang w:val="en-US" w:eastAsia="zh-CN" w:bidi="ar-SA"/>
        </w:rPr>
        <w:t>《</w:t>
      </w:r>
      <w:r>
        <w:rPr>
          <w:rFonts w:hint="default" w:ascii="宋体" w:hAnsi="宋体" w:eastAsia="宋体" w:cstheme="minorBidi"/>
          <w:b w:val="0"/>
          <w:sz w:val="24"/>
          <w:szCs w:val="22"/>
          <w:lang w:val="en-US" w:eastAsia="zh-CN" w:bidi="ar-SA"/>
        </w:rPr>
        <w:t>道路车辆 质量 词汇和代码</w:t>
      </w:r>
      <w:r>
        <w:rPr>
          <w:rFonts w:hint="default" w:ascii="宋体" w:hAnsi="宋体" w:eastAsia="宋体" w:cstheme="minorBidi"/>
          <w:b w:val="0"/>
          <w:sz w:val="24"/>
          <w:szCs w:val="22"/>
          <w:lang w:val="en-US" w:eastAsia="zh-CN" w:bidi="ar-SA"/>
        </w:rPr>
        <w:fldChar w:fldCharType="end"/>
      </w:r>
      <w:r>
        <w:rPr>
          <w:rFonts w:hint="eastAsia" w:ascii="宋体" w:hAnsi="宋体" w:eastAsia="宋体" w:cstheme="minorBidi"/>
          <w:b w:val="0"/>
          <w:sz w:val="24"/>
          <w:szCs w:val="22"/>
          <w:lang w:val="en-US" w:eastAsia="zh-CN" w:bidi="ar-SA"/>
        </w:rPr>
        <w:t>》</w:t>
      </w:r>
      <w:r>
        <w:rPr>
          <w:rFonts w:ascii="宋体" w:hAnsi="宋体" w:eastAsia="宋体"/>
          <w:b w:val="0"/>
          <w:sz w:val="24"/>
        </w:rPr>
        <w:t>等国家标准中的相关术语定义，确保了与现行国家标准体系的协调一致。</w:t>
      </w:r>
    </w:p>
    <w:p w14:paraId="077BB533">
      <w:pPr>
        <w:spacing w:before="240" w:after="120" w:line="360" w:lineRule="auto"/>
      </w:pPr>
      <w:r>
        <w:rPr>
          <w:rFonts w:ascii="黑体" w:hAnsi="黑体" w:eastAsia="黑体"/>
          <w:b/>
          <w:sz w:val="28"/>
        </w:rPr>
        <w:t>（七）标准实施建议</w:t>
      </w:r>
    </w:p>
    <w:p w14:paraId="01DC4F02">
      <w:pPr>
        <w:spacing w:after="120" w:line="360" w:lineRule="auto"/>
        <w:ind w:firstLine="420"/>
      </w:pPr>
      <w:r>
        <w:rPr>
          <w:rFonts w:ascii="宋体" w:hAnsi="宋体" w:eastAsia="宋体"/>
          <w:b w:val="0"/>
          <w:sz w:val="24"/>
        </w:rPr>
        <w:t>为确保《功能型无人车 车辆及部件 术语和定义》团体标准有效落地，建议通过广泛宣传培育行业共识，并在功能型无人车研发、测试、示范应用等重点领域推广使用；同时加强专业人才培养，推动标准内容与现有行业规范及技术文献相衔接，并建立动态评估修订机制，从而形成宣传、推广、融合、反馈的完整实施闭环，切实发挥其对功能型无人车产业规范化发展的支撑作用。</w:t>
      </w:r>
    </w:p>
    <w:p w14:paraId="45F90E49">
      <w:pPr>
        <w:spacing w:before="240" w:after="120" w:line="360" w:lineRule="auto"/>
      </w:pPr>
      <w:r>
        <w:rPr>
          <w:rFonts w:ascii="黑体" w:hAnsi="黑体" w:eastAsia="黑体"/>
          <w:b/>
          <w:sz w:val="28"/>
        </w:rPr>
        <w:t>（八）标准编制过程中重大分歧意见的处理和依据</w:t>
      </w:r>
    </w:p>
    <w:p w14:paraId="31114208">
      <w:pPr>
        <w:spacing w:after="120" w:line="360" w:lineRule="auto"/>
        <w:ind w:firstLine="420"/>
      </w:pPr>
      <w:r>
        <w:rPr>
          <w:rFonts w:ascii="宋体" w:hAnsi="宋体" w:eastAsia="宋体"/>
          <w:b w:val="0"/>
          <w:sz w:val="24"/>
        </w:rPr>
        <w:t>无。</w:t>
      </w:r>
    </w:p>
    <w:p w14:paraId="4D047309">
      <w:pPr>
        <w:spacing w:before="240" w:after="120" w:line="360" w:lineRule="auto"/>
      </w:pPr>
      <w:r>
        <w:rPr>
          <w:rFonts w:ascii="黑体" w:hAnsi="黑体" w:eastAsia="黑体"/>
          <w:b/>
          <w:sz w:val="28"/>
        </w:rPr>
        <w:t>（九）其他应予说明的事项</w:t>
      </w:r>
    </w:p>
    <w:p w14:paraId="36E5E6F5">
      <w:pPr>
        <w:spacing w:after="120" w:line="360" w:lineRule="auto"/>
        <w:ind w:firstLine="420"/>
      </w:pPr>
      <w:r>
        <w:rPr>
          <w:rFonts w:ascii="宋体" w:hAnsi="宋体" w:eastAsia="宋体"/>
          <w:b w:val="0"/>
          <w:sz w:val="24"/>
        </w:rPr>
        <w:t>无。</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KouzanBrushFontGyousyo"/>
    <w:panose1 w:val="00000000000000000000"/>
    <w:charset w:val="80"/>
    <w:family w:val="roman"/>
    <w:pitch w:val="default"/>
    <w:sig w:usb0="00000000" w:usb1="00000000" w:usb2="00000010" w:usb3="00000000" w:csb0="00020000" w:csb1="00000000"/>
  </w:font>
  <w:font w:name="仓耳渔阳体 W03">
    <w:altName w:val="KouzanBrushFontGyousyo"/>
    <w:panose1 w:val="02020400000000000000"/>
    <w:charset w:val="80"/>
    <w:family w:val="auto"/>
    <w:pitch w:val="default"/>
    <w:sig w:usb0="00000000" w:usb1="00000000" w:usb2="00000012" w:usb3="00000000" w:csb0="0002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F661189"/>
    <w:rsid w:val="536509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styleId="135">
    <w:name w:val="Hyperlink"/>
    <w:basedOn w:val="132"/>
    <w:semiHidden/>
    <w:unhideWhenUsed/>
    <w:uiPriority w:val="99"/>
    <w:rPr>
      <w:color w:val="0000FF"/>
      <w:u w:val="single"/>
    </w:rPr>
  </w:style>
  <w:style w:type="character" w:customStyle="1" w:styleId="136">
    <w:name w:val="Header Char"/>
    <w:basedOn w:val="132"/>
    <w:link w:val="25"/>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2572</Words>
  <Characters>2692</Characters>
  <Lines>0</Lines>
  <Paragraphs>0</Paragraphs>
  <TotalTime>8</TotalTime>
  <ScaleCrop>false</ScaleCrop>
  <LinksUpToDate>false</LinksUpToDate>
  <CharactersWithSpaces>2730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凡</cp:lastModifiedBy>
  <dcterms:modified xsi:type="dcterms:W3CDTF">2026-01-19T06:10:47Z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eyJoZGlkIjoiNjRlZmYzMDVmZjg2YTQ5ZDAxZWVkYWEwMDU1NDA4N2UiLCJ1c2VySWQiOiI0NTQ5OTczMDkifQ==</vt:lpwstr>
  </property>
  <property fmtid="{D5CDD505-2E9C-101B-9397-08002B2CF9AE}" pid="3" name="KSOProductBuildVer">
    <vt:lpwstr>2052-12.1.0.24657</vt:lpwstr>
  </property>
  <property fmtid="{D5CDD505-2E9C-101B-9397-08002B2CF9AE}" pid="4" name="ICV">
    <vt:lpwstr>A6531B9068024F6EA9B96CC9837E5117_13</vt:lpwstr>
  </property>
</Properties>
</file>