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04E0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7C06ED5">
            <w:pPr>
              <w:pStyle w:val="18"/>
              <w:framePr w:wrap="notBeside" w:vAnchor="page" w:hAnchor="page" w:x="1372" w:y="568"/>
              <w:tabs>
                <w:tab w:val="clear" w:pos="4153"/>
                <w:tab w:val="clear" w:pos="8306"/>
              </w:tabs>
              <w:spacing w:line="240" w:lineRule="auto"/>
              <w:jc w:val="left"/>
              <w:rPr>
                <w:rFonts w:ascii="黑体" w:hAnsi="黑体" w:eastAsia="黑体"/>
                <w:sz w:val="21"/>
                <w:szCs w:val="21"/>
              </w:rPr>
            </w:pPr>
            <w:bookmarkStart w:id="98" w:name="_GoBack"/>
            <w:bookmarkEnd w:id="98"/>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C68A077">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0"/>
          </w:p>
        </w:tc>
      </w:tr>
      <w:tr w14:paraId="20F3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4DE38F3">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822C29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C3BAB2E">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SAIF</w:t>
                  </w:r>
                  <w:r>
                    <w:fldChar w:fldCharType="end"/>
                  </w:r>
                  <w:bookmarkEnd w:id="1"/>
                </w:p>
              </w:tc>
            </w:tr>
          </w:tbl>
          <w:p w14:paraId="288F6A74">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2"/>
          </w:p>
        </w:tc>
      </w:tr>
    </w:tbl>
    <w:p w14:paraId="3FD7EE5C">
      <w:pPr>
        <w:pStyle w:val="50"/>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深圳市汽车产业联合会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59E00CF9">
      <w:pPr>
        <w:pStyle w:val="195"/>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SAIF</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rPr>
          <w:rFonts w:hint="eastAsia"/>
        </w:rPr>
        <w:t>20XX</w:t>
      </w:r>
      <w:r>
        <w:fldChar w:fldCharType="end"/>
      </w:r>
      <w:bookmarkEnd w:id="7"/>
    </w:p>
    <w:p w14:paraId="035E863A">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5C500369">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49FB0A9">
      <w:pPr>
        <w:pStyle w:val="50"/>
        <w:framePr w:w="9639" w:h="6976" w:hRule="exact" w:hSpace="0" w:vSpace="0" w:wrap="around" w:hAnchor="page" w:y="6408"/>
        <w:jc w:val="center"/>
        <w:rPr>
          <w:rFonts w:ascii="黑体" w:hAnsi="黑体" w:eastAsia="黑体"/>
          <w:b w:val="0"/>
          <w:bCs w:val="0"/>
          <w:w w:val="100"/>
        </w:rPr>
      </w:pPr>
    </w:p>
    <w:p w14:paraId="7D48EAE1">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功能型无人车 车辆及部件 术语和定义</w:t>
      </w:r>
      <w:r>
        <w:fldChar w:fldCharType="end"/>
      </w:r>
      <w:bookmarkEnd w:id="9"/>
    </w:p>
    <w:p w14:paraId="7167AF5F">
      <w:pPr>
        <w:framePr w:w="9639" w:h="6974" w:hRule="exact" w:wrap="around" w:vAnchor="page" w:hAnchor="page" w:x="1419" w:y="6408" w:anchorLock="1"/>
        <w:ind w:left="-1418"/>
      </w:pPr>
    </w:p>
    <w:p w14:paraId="31BFD69C">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F</w:t>
      </w:r>
      <w:r>
        <w:rPr>
          <w:rFonts w:eastAsia="黑体"/>
          <w:szCs w:val="28"/>
        </w:rPr>
        <w:t xml:space="preserve">unctional autonomous vehicle — </w:t>
      </w:r>
      <w:r>
        <w:rPr>
          <w:rFonts w:hint="eastAsia" w:eastAsia="黑体"/>
          <w:szCs w:val="28"/>
        </w:rPr>
        <w:t>v</w:t>
      </w:r>
      <w:r>
        <w:rPr>
          <w:rFonts w:eastAsia="黑体"/>
          <w:szCs w:val="28"/>
        </w:rPr>
        <w:t xml:space="preserve">ehicle and components — </w:t>
      </w:r>
      <w:r>
        <w:rPr>
          <w:rFonts w:hint="eastAsia" w:eastAsia="黑体"/>
          <w:szCs w:val="28"/>
        </w:rPr>
        <w:t>t</w:t>
      </w:r>
      <w:r>
        <w:rPr>
          <w:rFonts w:eastAsia="黑体"/>
          <w:szCs w:val="28"/>
        </w:rPr>
        <w:t>erms and definitions</w:t>
      </w:r>
      <w:r>
        <w:rPr>
          <w:rFonts w:eastAsia="黑体"/>
          <w:szCs w:val="28"/>
        </w:rPr>
        <w:fldChar w:fldCharType="end"/>
      </w:r>
      <w:bookmarkEnd w:id="10"/>
    </w:p>
    <w:p w14:paraId="2798E555">
      <w:pPr>
        <w:framePr w:w="9639" w:h="6974" w:hRule="exact" w:wrap="around" w:vAnchor="page" w:hAnchor="page" w:x="1419" w:y="6408" w:anchorLock="1"/>
        <w:spacing w:line="760" w:lineRule="exact"/>
        <w:ind w:left="-1418"/>
      </w:pPr>
    </w:p>
    <w:p w14:paraId="2FA2AC5F">
      <w:pPr>
        <w:pStyle w:val="125"/>
        <w:framePr w:w="9639" w:h="6974" w:hRule="exact" w:wrap="around" w:vAnchor="page" w:hAnchor="page" w:x="1419" w:y="6408" w:anchorLock="1"/>
        <w:textAlignment w:val="bottom"/>
        <w:rPr>
          <w:rFonts w:eastAsia="黑体"/>
          <w:szCs w:val="28"/>
        </w:rPr>
      </w:pPr>
    </w:p>
    <w:p w14:paraId="0EBB7EB9">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49F93A40">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793C882E">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2241523C">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3EFC95A6">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7B05D093">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深圳市汽车产业联合会</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291F9E5A">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D23512B">
      <w:pPr>
        <w:pStyle w:val="91"/>
        <w:spacing w:after="360"/>
        <w:rPr>
          <w:rFonts w:hint="eastAsia"/>
        </w:rPr>
      </w:pPr>
      <w:bookmarkStart w:id="21" w:name="BookMark1"/>
      <w:r>
        <w:rPr>
          <w:rFonts w:hint="eastAsia"/>
          <w:spacing w:val="320"/>
        </w:rPr>
        <w:t>目</w:t>
      </w:r>
      <w:r>
        <w:rPr>
          <w:rFonts w:hint="eastAsia"/>
        </w:rPr>
        <w:t>次</w:t>
      </w:r>
    </w:p>
    <w:p w14:paraId="0F98F6F1">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"_Toc217289740" </w:instrText>
      </w:r>
      <w:r>
        <w:fldChar w:fldCharType="separate"/>
      </w:r>
      <w:r>
        <w:rPr>
          <w:rStyle w:val="32"/>
        </w:rPr>
        <w:t>前言</w:t>
      </w:r>
      <w:r>
        <w:tab/>
      </w:r>
      <w:r>
        <w:fldChar w:fldCharType="begin"/>
      </w:r>
      <w:r>
        <w:instrText xml:space="preserve"> PAGEREF _Toc217289740 \h </w:instrText>
      </w:r>
      <w:r>
        <w:fldChar w:fldCharType="separate"/>
      </w:r>
      <w:r>
        <w:t>II</w:t>
      </w:r>
      <w:r>
        <w:fldChar w:fldCharType="end"/>
      </w:r>
      <w:r>
        <w:fldChar w:fldCharType="end"/>
      </w:r>
    </w:p>
    <w:p w14:paraId="7A462894">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"_Toc217289741" </w:instrText>
      </w:r>
      <w:r>
        <w:fldChar w:fldCharType="separate"/>
      </w:r>
      <w:r>
        <w:rPr>
          <w:rStyle w:val="32"/>
        </w:rPr>
        <w:t>1  范围</w:t>
      </w:r>
      <w:r>
        <w:tab/>
      </w:r>
      <w:r>
        <w:fldChar w:fldCharType="begin"/>
      </w:r>
      <w:r>
        <w:instrText xml:space="preserve"> PAGEREF _Toc217289741 \h </w:instrText>
      </w:r>
      <w:r>
        <w:fldChar w:fldCharType="separate"/>
      </w:r>
      <w:r>
        <w:t>1</w:t>
      </w:r>
      <w:r>
        <w:fldChar w:fldCharType="end"/>
      </w:r>
      <w:r>
        <w:fldChar w:fldCharType="end"/>
      </w:r>
    </w:p>
    <w:p w14:paraId="708FBC56">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"_Toc217289742" </w:instrText>
      </w:r>
      <w:r>
        <w:fldChar w:fldCharType="separate"/>
      </w:r>
      <w:r>
        <w:rPr>
          <w:rStyle w:val="32"/>
        </w:rPr>
        <w:t>2  规范性引用文件</w:t>
      </w:r>
      <w:r>
        <w:tab/>
      </w:r>
      <w:r>
        <w:fldChar w:fldCharType="begin"/>
      </w:r>
      <w:r>
        <w:instrText xml:space="preserve"> PAGEREF _Toc217289742 \h </w:instrText>
      </w:r>
      <w:r>
        <w:fldChar w:fldCharType="separate"/>
      </w:r>
      <w:r>
        <w:t>1</w:t>
      </w:r>
      <w:r>
        <w:fldChar w:fldCharType="end"/>
      </w:r>
      <w:r>
        <w:fldChar w:fldCharType="end"/>
      </w:r>
    </w:p>
    <w:p w14:paraId="553911C6">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"_Toc217289743" </w:instrText>
      </w:r>
      <w:r>
        <w:fldChar w:fldCharType="separate"/>
      </w:r>
      <w:r>
        <w:rPr>
          <w:rStyle w:val="32"/>
        </w:rPr>
        <w:t>3  基础通用</w:t>
      </w:r>
      <w:r>
        <w:tab/>
      </w:r>
      <w:r>
        <w:fldChar w:fldCharType="begin"/>
      </w:r>
      <w:r>
        <w:instrText xml:space="preserve"> PAGEREF _Toc217289743 \h </w:instrText>
      </w:r>
      <w:r>
        <w:fldChar w:fldCharType="separate"/>
      </w:r>
      <w:r>
        <w:t>1</w:t>
      </w:r>
      <w:r>
        <w:fldChar w:fldCharType="end"/>
      </w:r>
      <w:r>
        <w:fldChar w:fldCharType="end"/>
      </w:r>
    </w:p>
    <w:p w14:paraId="096BAD61">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"_Toc217289744" </w:instrText>
      </w:r>
      <w:r>
        <w:fldChar w:fldCharType="separate"/>
      </w:r>
      <w:r>
        <w:rPr>
          <w:rStyle w:val="32"/>
        </w:rPr>
        <w:t>4  关键技术</w:t>
      </w:r>
      <w:r>
        <w:tab/>
      </w:r>
      <w:r>
        <w:fldChar w:fldCharType="begin"/>
      </w:r>
      <w:r>
        <w:instrText xml:space="preserve"> PAGEREF _Toc217289744 \h </w:instrText>
      </w:r>
      <w:r>
        <w:fldChar w:fldCharType="separate"/>
      </w:r>
      <w:r>
        <w:t>2</w:t>
      </w:r>
      <w:r>
        <w:fldChar w:fldCharType="end"/>
      </w:r>
      <w:r>
        <w:fldChar w:fldCharType="end"/>
      </w:r>
    </w:p>
    <w:p w14:paraId="02E70A8E">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"_Toc217289745" </w:instrText>
      </w:r>
      <w:r>
        <w:fldChar w:fldCharType="separate"/>
      </w:r>
      <w:r>
        <w:rPr>
          <w:rStyle w:val="32"/>
        </w:rPr>
        <w:t>5  系统部件</w:t>
      </w:r>
      <w:r>
        <w:tab/>
      </w:r>
      <w:r>
        <w:fldChar w:fldCharType="begin"/>
      </w:r>
      <w:r>
        <w:instrText xml:space="preserve"> PAGEREF _Toc217289745 \h </w:instrText>
      </w:r>
      <w:r>
        <w:fldChar w:fldCharType="separate"/>
      </w:r>
      <w:r>
        <w:t>3</w:t>
      </w:r>
      <w:r>
        <w:fldChar w:fldCharType="end"/>
      </w:r>
      <w:r>
        <w:fldChar w:fldCharType="end"/>
      </w:r>
    </w:p>
    <w:p w14:paraId="748C926B">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"_Toc217289746" </w:instrText>
      </w:r>
      <w:r>
        <w:fldChar w:fldCharType="separate"/>
      </w:r>
      <w:r>
        <w:rPr>
          <w:rStyle w:val="32"/>
        </w:rPr>
        <w:t>6  质量和速度</w:t>
      </w:r>
      <w:r>
        <w:tab/>
      </w:r>
      <w:r>
        <w:fldChar w:fldCharType="begin"/>
      </w:r>
      <w:r>
        <w:instrText xml:space="preserve"> PAGEREF _Toc217289746 \h </w:instrText>
      </w:r>
      <w:r>
        <w:fldChar w:fldCharType="separate"/>
      </w:r>
      <w:r>
        <w:t>4</w:t>
      </w:r>
      <w:r>
        <w:fldChar w:fldCharType="end"/>
      </w:r>
      <w:r>
        <w:fldChar w:fldCharType="end"/>
      </w:r>
    </w:p>
    <w:p w14:paraId="4FDA12D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"_Toc217289747" </w:instrText>
      </w:r>
      <w:r>
        <w:fldChar w:fldCharType="separate"/>
      </w:r>
      <w:r>
        <w:rPr>
          <w:rStyle w:val="32"/>
        </w:rPr>
        <w:t>7  开发测试</w:t>
      </w:r>
      <w:r>
        <w:tab/>
      </w:r>
      <w:r>
        <w:fldChar w:fldCharType="begin"/>
      </w:r>
      <w:r>
        <w:instrText xml:space="preserve"> PAGEREF _Toc217289747 \h </w:instrText>
      </w:r>
      <w:r>
        <w:fldChar w:fldCharType="separate"/>
      </w:r>
      <w:r>
        <w:t>4</w:t>
      </w:r>
      <w:r>
        <w:fldChar w:fldCharType="end"/>
      </w:r>
      <w:r>
        <w:fldChar w:fldCharType="end"/>
      </w:r>
    </w:p>
    <w:p w14:paraId="7C120909">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"_Toc217289748" </w:instrText>
      </w:r>
      <w:r>
        <w:fldChar w:fldCharType="separate"/>
      </w:r>
      <w:r>
        <w:rPr>
          <w:rStyle w:val="32"/>
        </w:rPr>
        <w:t>8  示范应用</w:t>
      </w:r>
      <w:r>
        <w:tab/>
      </w:r>
      <w:r>
        <w:fldChar w:fldCharType="begin"/>
      </w:r>
      <w:r>
        <w:instrText xml:space="preserve"> PAGEREF _Toc217289748 \h </w:instrText>
      </w:r>
      <w:r>
        <w:fldChar w:fldCharType="separate"/>
      </w:r>
      <w:r>
        <w:t>5</w:t>
      </w:r>
      <w:r>
        <w:fldChar w:fldCharType="end"/>
      </w:r>
      <w:r>
        <w:fldChar w:fldCharType="end"/>
      </w:r>
    </w:p>
    <w:p w14:paraId="10AEDDB0">
      <w:pPr>
        <w:pStyle w:val="91"/>
        <w:spacing w:after="36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218D6190">
      <w:pPr>
        <w:pStyle w:val="89"/>
        <w:spacing w:before="560" w:after="360"/>
      </w:pPr>
      <w:bookmarkStart w:id="22" w:name="_Toc217289740"/>
      <w:bookmarkStart w:id="23" w:name="BookMark2"/>
      <w:r>
        <w:rPr>
          <w:spacing w:val="320"/>
        </w:rPr>
        <w:t>前</w:t>
      </w:r>
      <w:r>
        <w:t>言</w:t>
      </w:r>
      <w:bookmarkEnd w:id="22"/>
    </w:p>
    <w:p w14:paraId="4B4E363B">
      <w:pPr>
        <w:pStyle w:val="56"/>
        <w:ind w:firstLine="420"/>
      </w:pPr>
      <w:r>
        <w:rPr>
          <w:rFonts w:hint="eastAsia"/>
        </w:rPr>
        <w:t>本文件按照GB/T 1.1—2020《标准化工作导则  第1部分：标准化文件的结构和起草规则》的规定起草。</w:t>
      </w:r>
    </w:p>
    <w:p w14:paraId="538383C8">
      <w:pPr>
        <w:pStyle w:val="56"/>
        <w:ind w:firstLine="420"/>
      </w:pPr>
      <w:r>
        <w:rPr>
          <w:rFonts w:hint="eastAsia"/>
        </w:rPr>
        <w:t>请注意本文件的某些内容可能涉及专利。本文件的发布机构不承担识别专利的责任。</w:t>
      </w:r>
    </w:p>
    <w:p w14:paraId="1A335BF4">
      <w:pPr>
        <w:pStyle w:val="56"/>
        <w:ind w:firstLine="420"/>
      </w:pPr>
      <w:r>
        <w:rPr>
          <w:rFonts w:hint="eastAsia"/>
        </w:rPr>
        <w:t>本文件由</w:t>
      </w:r>
      <w:bookmarkStart w:id="24" w:name="OLE_LINK49"/>
      <w:r>
        <w:rPr>
          <w:rFonts w:hint="eastAsia"/>
        </w:rPr>
        <w:t>深圳市汽车产业联合会</w:t>
      </w:r>
      <w:bookmarkEnd w:id="24"/>
      <w:r>
        <w:rPr>
          <w:rFonts w:hint="eastAsia"/>
        </w:rPr>
        <w:t>提出。</w:t>
      </w:r>
    </w:p>
    <w:p w14:paraId="2E8A8C52">
      <w:pPr>
        <w:pStyle w:val="56"/>
        <w:ind w:firstLine="420"/>
      </w:pPr>
      <w:r>
        <w:rPr>
          <w:rFonts w:hint="eastAsia"/>
        </w:rPr>
        <w:t>本文件由深圳市汽车产业联合会归口。</w:t>
      </w:r>
    </w:p>
    <w:p w14:paraId="748E8CD3">
      <w:pPr>
        <w:pStyle w:val="56"/>
        <w:ind w:firstLine="420"/>
        <w:rPr>
          <w:rFonts w:hint="default" w:eastAsia="宋体"/>
          <w:lang w:val="en-US" w:eastAsia="zh-CN"/>
        </w:rPr>
      </w:pPr>
      <w:r>
        <w:rPr>
          <w:rFonts w:hint="eastAsia"/>
        </w:rPr>
        <w:t>本文件起草单位：</w:t>
      </w:r>
      <w:r>
        <w:rPr>
          <w:rFonts w:hint="eastAsia"/>
          <w:lang w:val="en-US" w:eastAsia="zh-CN"/>
        </w:rPr>
        <w:t>***</w:t>
      </w:r>
    </w:p>
    <w:p w14:paraId="7D3CAA74">
      <w:pPr>
        <w:pStyle w:val="56"/>
        <w:ind w:firstLine="420"/>
        <w:rPr>
          <w:rFonts w:hint="default" w:eastAsia="宋体"/>
          <w:lang w:val="en-US" w:eastAsia="zh-CN"/>
        </w:rPr>
      </w:pPr>
      <w:r>
        <w:rPr>
          <w:rFonts w:hint="eastAsia"/>
        </w:rPr>
        <w:t>本文件主要起草人：</w:t>
      </w:r>
      <w:r>
        <w:rPr>
          <w:rFonts w:hint="eastAsia"/>
          <w:lang w:val="en-US" w:eastAsia="zh-CN"/>
        </w:rPr>
        <w:t>***</w:t>
      </w:r>
    </w:p>
    <w:p w14:paraId="62681F1D">
      <w:pPr>
        <w:pStyle w:val="56"/>
        <w:ind w:firstLine="420"/>
      </w:pPr>
    </w:p>
    <w:p w14:paraId="394E2E20">
      <w:pPr>
        <w:pStyle w:val="56"/>
        <w:ind w:firstLine="420"/>
        <w:sectPr>
          <w:headerReference r:id="rId15" w:type="default"/>
          <w:footerReference r:id="rId17" w:type="default"/>
          <w:headerReference r:id="rId16" w:type="even"/>
          <w:footerReference r:id="rId18" w:type="even"/>
          <w:pgSz w:w="11906" w:h="16838"/>
          <w:pgMar w:top="1928" w:right="1134" w:bottom="1134" w:left="1134" w:header="1418" w:footer="1134" w:gutter="284"/>
          <w:pgNumType w:fmt="upperRoman"/>
          <w:cols w:space="425" w:num="1"/>
          <w:formProt w:val="0"/>
          <w:docGrid w:linePitch="312" w:charSpace="0"/>
        </w:sectPr>
      </w:pPr>
    </w:p>
    <w:bookmarkEnd w:id="23"/>
    <w:p w14:paraId="3D0A9B6B">
      <w:pPr>
        <w:spacing w:line="20" w:lineRule="exact"/>
        <w:jc w:val="center"/>
        <w:rPr>
          <w:rFonts w:ascii="黑体" w:hAnsi="黑体" w:eastAsia="黑体"/>
          <w:sz w:val="32"/>
          <w:szCs w:val="32"/>
        </w:rPr>
      </w:pPr>
      <w:bookmarkStart w:id="25" w:name="BookMark4"/>
    </w:p>
    <w:p w14:paraId="5AF91E9A">
      <w:pPr>
        <w:spacing w:line="20" w:lineRule="exact"/>
        <w:jc w:val="center"/>
        <w:rPr>
          <w:rFonts w:ascii="黑体" w:hAnsi="黑体" w:eastAsia="黑体"/>
          <w:sz w:val="32"/>
          <w:szCs w:val="32"/>
        </w:rPr>
      </w:pPr>
    </w:p>
    <w:sdt>
      <w:sdtPr>
        <w:tag w:val="NEW_STAND_NAME"/>
        <w:id w:val="595910757"/>
        <w:lock w:val="sdtLocked"/>
        <w:placeholder>
          <w:docPart w:val="B0D5B730719A493D902C0A1D22B9DAE2"/>
        </w:placeholder>
      </w:sdtPr>
      <w:sdtContent>
        <w:p w14:paraId="2217E5C5">
          <w:pPr>
            <w:pStyle w:val="177"/>
            <w:spacing w:before="240" w:beforeLines="100" w:after="528" w:afterLines="220"/>
          </w:pPr>
          <w:bookmarkStart w:id="26" w:name="NEW_STAND_NAME"/>
          <w:r>
            <w:rPr>
              <w:rFonts w:hint="eastAsia"/>
            </w:rPr>
            <w:t>功能型无人车</w:t>
          </w:r>
          <w:r>
            <w:t xml:space="preserve"> 车辆及部件 术语和定义</w:t>
          </w:r>
        </w:p>
      </w:sdtContent>
    </w:sdt>
    <w:bookmarkEnd w:id="26"/>
    <w:p w14:paraId="09D678A8">
      <w:pPr>
        <w:pStyle w:val="104"/>
        <w:spacing w:before="240" w:after="240"/>
      </w:pPr>
      <w:bookmarkStart w:id="27" w:name="_Toc24884218"/>
      <w:bookmarkStart w:id="28" w:name="_Toc26648465"/>
      <w:bookmarkStart w:id="29" w:name="_Toc26986771"/>
      <w:bookmarkStart w:id="30" w:name="_Toc26986530"/>
      <w:bookmarkStart w:id="31" w:name="_Toc97192964"/>
      <w:bookmarkStart w:id="32" w:name="_Toc17233333"/>
      <w:bookmarkStart w:id="33" w:name="_Toc24884211"/>
      <w:bookmarkStart w:id="34" w:name="_Toc213076291"/>
      <w:bookmarkStart w:id="35" w:name="_Toc26718930"/>
      <w:bookmarkStart w:id="36" w:name="_Toc217289741"/>
      <w:bookmarkStart w:id="37" w:name="_Toc17233325"/>
      <w:r>
        <w:rPr>
          <w:rFonts w:hint="eastAsia"/>
        </w:rPr>
        <w:t>范围</w:t>
      </w:r>
      <w:bookmarkEnd w:id="27"/>
      <w:bookmarkEnd w:id="28"/>
      <w:bookmarkEnd w:id="29"/>
      <w:bookmarkEnd w:id="30"/>
      <w:bookmarkEnd w:id="31"/>
      <w:bookmarkEnd w:id="32"/>
      <w:bookmarkEnd w:id="33"/>
      <w:bookmarkEnd w:id="34"/>
      <w:bookmarkEnd w:id="35"/>
      <w:bookmarkEnd w:id="36"/>
      <w:bookmarkEnd w:id="37"/>
    </w:p>
    <w:p w14:paraId="22D4505A">
      <w:pPr>
        <w:pStyle w:val="56"/>
        <w:ind w:firstLine="420"/>
      </w:pPr>
      <w:bookmarkStart w:id="38" w:name="_Toc26648466"/>
      <w:bookmarkStart w:id="39" w:name="_Toc17233334"/>
      <w:bookmarkStart w:id="40" w:name="_Toc24884219"/>
      <w:bookmarkStart w:id="41" w:name="_Toc17233326"/>
      <w:bookmarkStart w:id="42" w:name="_Toc24884212"/>
      <w:r>
        <w:rPr>
          <w:rFonts w:hint="eastAsia"/>
        </w:rPr>
        <w:t>本文件界定了功能型无人车基础通用、关键技术、质量和速度、开发测试以及示范应用相关的术语和定义。</w:t>
      </w:r>
    </w:p>
    <w:p w14:paraId="59748187">
      <w:pPr>
        <w:pStyle w:val="56"/>
        <w:ind w:firstLine="420"/>
      </w:pPr>
      <w:r>
        <w:rPr>
          <w:rFonts w:hint="eastAsia"/>
        </w:rPr>
        <w:t>本文件适用于功能型无人车。</w:t>
      </w:r>
    </w:p>
    <w:p w14:paraId="304F9731">
      <w:pPr>
        <w:pStyle w:val="104"/>
        <w:spacing w:before="240" w:after="240"/>
      </w:pPr>
      <w:bookmarkStart w:id="43" w:name="_Toc217289742"/>
      <w:bookmarkStart w:id="44" w:name="_Toc213076292"/>
      <w:bookmarkStart w:id="45" w:name="_Toc97192965"/>
      <w:bookmarkStart w:id="46" w:name="_Toc26986531"/>
      <w:bookmarkStart w:id="47" w:name="_Toc26986772"/>
      <w:bookmarkStart w:id="48" w:name="_Toc26718931"/>
      <w:r>
        <w:rPr>
          <w:rFonts w:hint="eastAsia"/>
        </w:rPr>
        <w:t>规范性引用文件</w:t>
      </w:r>
      <w:bookmarkEnd w:id="38"/>
      <w:bookmarkEnd w:id="39"/>
      <w:bookmarkEnd w:id="40"/>
      <w:bookmarkEnd w:id="41"/>
      <w:bookmarkEnd w:id="42"/>
      <w:bookmarkEnd w:id="43"/>
      <w:bookmarkEnd w:id="44"/>
      <w:bookmarkEnd w:id="45"/>
      <w:bookmarkEnd w:id="46"/>
      <w:bookmarkEnd w:id="47"/>
      <w:bookmarkEnd w:id="48"/>
    </w:p>
    <w:sdt>
      <w:sdtPr>
        <w:rPr>
          <w:rFonts w:hint="eastAsia" w:ascii="宋体" w:hAnsi="宋体"/>
        </w:rPr>
        <w:id w:val="715848253"/>
        <w:placeholder>
          <w:docPart w:val="CB7E52FFB73348B592A7684BED77059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ascii="宋体" w:hAnsi="宋体"/>
        </w:rPr>
      </w:sdtEndPr>
      <w:sdtContent>
        <w:p w14:paraId="7867FD5A">
          <w:pPr>
            <w:pStyle w:val="56"/>
            <w:ind w:firstLine="420"/>
            <w:rPr>
              <w:rFonts w:ascii="宋体" w:hAnsi="宋体"/>
            </w:rPr>
          </w:pPr>
          <w:r>
            <w:rPr>
              <w:rFonts w:hint="eastAsia" w:ascii="宋体" w:hAnsi="宋体"/>
            </w:rPr>
            <w:t>本文件没有规范性引用文件。</w:t>
          </w:r>
        </w:p>
      </w:sdtContent>
    </w:sdt>
    <w:p w14:paraId="731B2C17">
      <w:pPr>
        <w:pStyle w:val="104"/>
        <w:spacing w:before="240" w:after="240"/>
      </w:pPr>
      <w:bookmarkStart w:id="49" w:name="_Toc217289743"/>
      <w:bookmarkStart w:id="50" w:name="_Toc213076293"/>
      <w:r>
        <w:rPr>
          <w:rFonts w:hint="eastAsia"/>
          <w:szCs w:val="21"/>
        </w:rPr>
        <w:t>基础通用</w:t>
      </w:r>
      <w:bookmarkEnd w:id="49"/>
      <w:bookmarkEnd w:id="50"/>
    </w:p>
    <w:p w14:paraId="5AB224AB">
      <w:pPr>
        <w:pStyle w:val="223"/>
        <w:ind w:left="420" w:hanging="420" w:hangingChars="200"/>
        <w:rPr>
          <w:rFonts w:ascii="黑体" w:hAnsi="黑体" w:eastAsia="黑体"/>
        </w:rPr>
      </w:pPr>
      <w:bookmarkStart w:id="51" w:name="_Toc26986532"/>
      <w:bookmarkEnd w:id="51"/>
      <w:bookmarkStart w:id="52" w:name="OLE_LINK5"/>
      <w:bookmarkStart w:id="53" w:name="OLE_LINK17"/>
      <w:r>
        <w:rPr>
          <w:rFonts w:ascii="黑体" w:hAnsi="黑体" w:eastAsia="黑体"/>
        </w:rPr>
        <w:br w:type="textWrapping"/>
      </w:r>
      <w:bookmarkStart w:id="54" w:name="OLE_LINK6"/>
      <w:bookmarkStart w:id="55" w:name="OLE_LINK7"/>
      <w:r>
        <w:rPr>
          <w:rFonts w:hint="eastAsia" w:ascii="黑体" w:hAnsi="黑体" w:eastAsia="黑体"/>
        </w:rPr>
        <w:t>功能型无人车</w:t>
      </w:r>
      <w:bookmarkEnd w:id="54"/>
      <w:r>
        <w:rPr>
          <w:rFonts w:hint="eastAsia" w:ascii="黑体" w:hAnsi="黑体" w:eastAsia="黑体"/>
        </w:rPr>
        <w:t xml:space="preserve">  </w:t>
      </w:r>
      <w:bookmarkStart w:id="56" w:name="OLE_LINK32"/>
      <w:r>
        <w:rPr>
          <w:rFonts w:hint="eastAsia" w:ascii="微软雅黑" w:hAnsi="Calibri" w:eastAsia="微软雅黑" w:cs="微软雅黑"/>
          <w:sz w:val="22"/>
          <w:szCs w:val="22"/>
          <w:lang w:val="zh-CN"/>
        </w:rPr>
        <w:t>f</w:t>
      </w:r>
      <w:r>
        <w:rPr>
          <w:rFonts w:ascii="黑体" w:hAnsi="黑体" w:eastAsia="黑体"/>
          <w:lang w:val="zh-CN"/>
        </w:rPr>
        <w:t xml:space="preserve">unctional </w:t>
      </w:r>
      <w:bookmarkStart w:id="57" w:name="OLE_LINK30"/>
      <w:r>
        <w:rPr>
          <w:rFonts w:ascii="黑体" w:hAnsi="黑体" w:eastAsia="黑体"/>
          <w:lang w:val="zh-CN"/>
        </w:rPr>
        <w:t>autonomous vehicle</w:t>
      </w:r>
      <w:bookmarkEnd w:id="56"/>
      <w:bookmarkEnd w:id="57"/>
    </w:p>
    <w:p w14:paraId="00713FE7">
      <w:pPr>
        <w:pStyle w:val="56"/>
        <w:ind w:firstLine="420"/>
        <w:rPr>
          <w:rFonts w:ascii="宋体" w:hAnsi="宋体"/>
        </w:rPr>
      </w:pPr>
      <w:bookmarkStart w:id="58" w:name="OLE_LINK23"/>
      <w:r>
        <w:rPr>
          <w:rFonts w:hint="eastAsia" w:ascii="宋体" w:hAnsi="宋体"/>
        </w:rPr>
        <w:t>以在限定环境或任务场景中自主完成功能任务为主要目标，具备感知、决策与执行能力的无人驾驶（3.2）车辆。</w:t>
      </w:r>
    </w:p>
    <w:p w14:paraId="1D2773ED">
      <w:pPr>
        <w:pStyle w:val="179"/>
      </w:pPr>
      <w:r>
        <w:rPr>
          <w:rFonts w:hint="eastAsia"/>
        </w:rPr>
        <w:t>功能任务包括但不限于</w:t>
      </w:r>
      <w:bookmarkStart w:id="59" w:name="OLE_LINK26"/>
      <w:bookmarkStart w:id="60" w:name="OLE_LINK27"/>
      <w:r>
        <w:rPr>
          <w:rFonts w:hint="eastAsia"/>
        </w:rPr>
        <w:t>配送、运输、安防、零售、环卫、接驳</w:t>
      </w:r>
      <w:bookmarkEnd w:id="59"/>
      <w:r>
        <w:rPr>
          <w:rFonts w:hint="eastAsia"/>
        </w:rPr>
        <w:t>等</w:t>
      </w:r>
      <w:bookmarkEnd w:id="60"/>
      <w:r>
        <w:rPr>
          <w:rFonts w:hint="eastAsia"/>
        </w:rPr>
        <w:t>。</w:t>
      </w:r>
    </w:p>
    <w:bookmarkEnd w:id="55"/>
    <w:p w14:paraId="36A92675">
      <w:pPr>
        <w:pStyle w:val="223"/>
        <w:ind w:left="420" w:hanging="420" w:hangingChars="200"/>
        <w:rPr>
          <w:rFonts w:ascii="黑体" w:hAnsi="黑体" w:eastAsia="黑体"/>
        </w:rPr>
      </w:pPr>
      <w:r>
        <w:rPr>
          <w:rFonts w:ascii="黑体" w:hAnsi="黑体" w:eastAsia="黑体"/>
        </w:rPr>
        <w:br w:type="textWrapping"/>
      </w:r>
      <w:bookmarkStart w:id="61" w:name="OLE_LINK48"/>
      <w:bookmarkStart w:id="62" w:name="OLE_LINK37"/>
      <w:bookmarkStart w:id="63" w:name="OLE_LINK46"/>
      <w:bookmarkStart w:id="64" w:name="OLE_LINK24"/>
      <w:r>
        <w:rPr>
          <w:rFonts w:hint="eastAsia" w:ascii="黑体" w:hAnsi="黑体" w:eastAsia="黑体"/>
        </w:rPr>
        <w:t>无人驾驶</w:t>
      </w:r>
      <w:bookmarkEnd w:id="58"/>
      <w:bookmarkEnd w:id="61"/>
      <w:r>
        <w:rPr>
          <w:rFonts w:hint="eastAsia" w:ascii="黑体" w:hAnsi="黑体" w:eastAsia="黑体"/>
        </w:rPr>
        <w:t xml:space="preserve"> </w:t>
      </w:r>
      <w:bookmarkEnd w:id="62"/>
      <w:r>
        <w:rPr>
          <w:rFonts w:hint="eastAsia" w:ascii="黑体" w:hAnsi="黑体" w:eastAsia="黑体"/>
        </w:rPr>
        <w:t xml:space="preserve"> </w:t>
      </w:r>
      <w:bookmarkStart w:id="65" w:name="OLE_LINK47"/>
      <w:r>
        <w:rPr>
          <w:rFonts w:ascii="黑体" w:hAnsi="黑体" w:eastAsia="黑体"/>
        </w:rPr>
        <w:t>autonomous</w:t>
      </w:r>
      <w:r>
        <w:rPr>
          <w:rFonts w:hint="eastAsia" w:ascii="黑体" w:hAnsi="黑体" w:eastAsia="黑体"/>
        </w:rPr>
        <w:t xml:space="preserve"> driving</w:t>
      </w:r>
      <w:bookmarkEnd w:id="63"/>
      <w:bookmarkEnd w:id="65"/>
    </w:p>
    <w:p w14:paraId="123527F5">
      <w:pPr>
        <w:pStyle w:val="56"/>
        <w:ind w:firstLine="420"/>
        <w:rPr>
          <w:rFonts w:ascii="宋体" w:hAnsi="宋体"/>
        </w:rPr>
      </w:pPr>
      <w:r>
        <w:rPr>
          <w:rFonts w:ascii="宋体" w:hAnsi="宋体"/>
        </w:rPr>
        <w:t>除为处理紧急状况和临时性操控的装置外，不设置供人工操作的转向、制动、加速等驾驶相关操纵件，专门设计为以自动方式</w:t>
      </w:r>
      <w:r>
        <w:rPr>
          <w:rFonts w:hint="eastAsia" w:ascii="宋体" w:hAnsi="宋体"/>
        </w:rPr>
        <w:t>完成行驶任务</w:t>
      </w:r>
      <w:r>
        <w:rPr>
          <w:rFonts w:ascii="宋体" w:hAnsi="宋体"/>
        </w:rPr>
        <w:t>的特性。</w:t>
      </w:r>
    </w:p>
    <w:bookmarkEnd w:id="64"/>
    <w:p w14:paraId="4C5028EB">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目标和事件探测与响应  object and event detection and response；OEDR</w:t>
      </w:r>
    </w:p>
    <w:p w14:paraId="2D6A5A33">
      <w:pPr>
        <w:pStyle w:val="56"/>
        <w:ind w:firstLine="420"/>
        <w:rPr>
          <w:rFonts w:ascii="宋体" w:hAnsi="宋体"/>
        </w:rPr>
      </w:pPr>
      <w:r>
        <w:rPr>
          <w:rFonts w:hint="eastAsia" w:ascii="宋体" w:hAnsi="宋体"/>
        </w:rPr>
        <w:t>对目标和事件进行探测，并进行适当的响应。</w:t>
      </w:r>
    </w:p>
    <w:p w14:paraId="64131025">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最小风险状态  minimalriskcondition；MRC</w:t>
      </w:r>
    </w:p>
    <w:p w14:paraId="45770FB1">
      <w:pPr>
        <w:pStyle w:val="56"/>
        <w:ind w:firstLine="420"/>
        <w:rPr>
          <w:rFonts w:ascii="宋体" w:hAnsi="宋体"/>
        </w:rPr>
      </w:pPr>
      <w:r>
        <w:rPr>
          <w:rFonts w:hint="eastAsia" w:ascii="宋体" w:hAnsi="宋体"/>
        </w:rPr>
        <w:t>功能型无人车事故风险可接受的状态。</w:t>
      </w:r>
    </w:p>
    <w:p w14:paraId="03A1E640">
      <w:pPr>
        <w:pStyle w:val="224"/>
        <w:ind w:left="420" w:hanging="420" w:hangingChars="200"/>
        <w:rPr>
          <w:rFonts w:ascii="黑体" w:hAnsi="黑体" w:eastAsia="黑体"/>
        </w:rPr>
      </w:pPr>
      <w:r>
        <w:rPr>
          <w:rFonts w:ascii="黑体" w:hAnsi="黑体" w:eastAsia="黑体"/>
        </w:rPr>
        <w:br w:type="textWrapping"/>
      </w:r>
      <w:bookmarkStart w:id="66" w:name="OLE_LINK34"/>
      <w:r>
        <w:rPr>
          <w:rFonts w:hint="eastAsia" w:ascii="黑体" w:hAnsi="黑体" w:eastAsia="黑体"/>
        </w:rPr>
        <w:t>最小风险策略  minimal risk maneuver；MRM</w:t>
      </w:r>
    </w:p>
    <w:p w14:paraId="2C28A672">
      <w:pPr>
        <w:pStyle w:val="56"/>
        <w:ind w:firstLine="420"/>
      </w:pPr>
      <w:r>
        <w:t>当功能型无人车因系统故障、环境变化或运行条件不再满足设计运行范围，无法继续执行任务时，</w:t>
      </w:r>
      <w:r>
        <w:rPr>
          <w:rFonts w:hint="eastAsia" w:ascii="宋体" w:hAnsi="宋体"/>
        </w:rPr>
        <w:t>所采取的使无人车达到最小1风险状态的措施。</w:t>
      </w:r>
    </w:p>
    <w:bookmarkEnd w:id="66"/>
    <w:p w14:paraId="4024B5C7">
      <w:pPr>
        <w:pStyle w:val="224"/>
        <w:ind w:left="420" w:hanging="420" w:hangingChars="200"/>
        <w:rPr>
          <w:rFonts w:ascii="黑体" w:hAnsi="黑体" w:eastAsia="黑体"/>
        </w:rPr>
      </w:pPr>
      <w:r>
        <w:rPr>
          <w:rFonts w:ascii="黑体" w:hAnsi="黑体" w:eastAsia="黑体"/>
        </w:rPr>
        <w:br w:type="textWrapping"/>
      </w:r>
      <w:bookmarkStart w:id="67" w:name="OLE_LINK29"/>
      <w:r>
        <w:rPr>
          <w:rFonts w:hint="eastAsia" w:ascii="黑体" w:hAnsi="黑体" w:eastAsia="黑体"/>
        </w:rPr>
        <w:t>动态任务后援  dynamic drivingtask fallback</w:t>
      </w:r>
    </w:p>
    <w:p w14:paraId="62EF03AC">
      <w:pPr>
        <w:pStyle w:val="56"/>
        <w:ind w:firstLine="420"/>
        <w:rPr>
          <w:rFonts w:ascii="宋体" w:hAnsi="宋体"/>
        </w:rPr>
      </w:pPr>
      <w:r>
        <w:rPr>
          <w:rFonts w:hint="eastAsia" w:ascii="宋体" w:hAnsi="宋体"/>
        </w:rPr>
        <w:t>当</w:t>
      </w:r>
      <w:bookmarkStart w:id="68" w:name="OLE_LINK33"/>
      <w:r>
        <w:rPr>
          <w:rFonts w:hint="eastAsia" w:ascii="宋体" w:hAnsi="宋体"/>
        </w:rPr>
        <w:t>功能型无人车</w:t>
      </w:r>
      <w:bookmarkEnd w:id="68"/>
      <w:r>
        <w:rPr>
          <w:rFonts w:hint="eastAsia" w:ascii="宋体" w:hAnsi="宋体"/>
        </w:rPr>
        <w:t>执行动态任务（7.2）时，即将超出设计运行范围，或其关键系统发生失效、导致不满足设计运行条件的情况时，由用户接管或为无人车自身执行最小风险策略的后备支援行为。</w:t>
      </w:r>
    </w:p>
    <w:bookmarkEnd w:id="67"/>
    <w:p w14:paraId="7281FC70">
      <w:pPr>
        <w:pStyle w:val="224"/>
        <w:ind w:left="420" w:hanging="420" w:hangingChars="200"/>
        <w:rPr>
          <w:rFonts w:ascii="黑体" w:hAnsi="黑体" w:eastAsia="黑体"/>
        </w:rPr>
      </w:pPr>
      <w:r>
        <w:rPr>
          <w:rFonts w:ascii="黑体" w:hAnsi="黑体" w:eastAsia="黑体"/>
        </w:rPr>
        <w:br w:type="textWrapping"/>
      </w:r>
      <w:bookmarkStart w:id="69" w:name="OLE_LINK28"/>
      <w:r>
        <w:rPr>
          <w:rFonts w:hint="eastAsia" w:ascii="黑体" w:hAnsi="黑体" w:eastAsia="黑体"/>
        </w:rPr>
        <w:t>设计运行范围  operational design domain；ODD</w:t>
      </w:r>
    </w:p>
    <w:p w14:paraId="5B300F1E">
      <w:pPr>
        <w:pStyle w:val="56"/>
        <w:ind w:firstLine="420"/>
        <w:rPr>
          <w:rFonts w:ascii="宋体" w:hAnsi="宋体"/>
        </w:rPr>
      </w:pPr>
      <w:r>
        <w:rPr>
          <w:rFonts w:hint="eastAsia" w:ascii="宋体" w:hAnsi="宋体"/>
        </w:rPr>
        <w:t>功能型无人车在设计时确定的适用于其功能运行的外部环境条件。</w:t>
      </w:r>
    </w:p>
    <w:p w14:paraId="3502B5B0">
      <w:pPr>
        <w:pStyle w:val="179"/>
      </w:pPr>
      <w:r>
        <w:rPr>
          <w:rFonts w:hint="eastAsia"/>
        </w:rPr>
        <w:t>典型的外部环境条件有道路、交通、天气、光照等。</w:t>
      </w:r>
    </w:p>
    <w:bookmarkEnd w:id="69"/>
    <w:p w14:paraId="40A0C919">
      <w:pPr>
        <w:pStyle w:val="224"/>
        <w:ind w:left="420" w:hanging="420" w:hangingChars="200"/>
        <w:rPr>
          <w:rFonts w:ascii="黑体" w:hAnsi="黑体" w:eastAsia="黑体"/>
        </w:rPr>
      </w:pPr>
      <w:bookmarkStart w:id="70" w:name="OLE_LINK18"/>
      <w:r>
        <w:rPr>
          <w:rFonts w:ascii="黑体" w:hAnsi="黑体" w:eastAsia="黑体"/>
        </w:rPr>
        <w:br w:type="textWrapping"/>
      </w:r>
      <w:r>
        <w:rPr>
          <w:rFonts w:hint="eastAsia" w:ascii="黑体" w:hAnsi="黑体" w:eastAsia="黑体"/>
        </w:rPr>
        <w:t>干预  intervention</w:t>
      </w:r>
    </w:p>
    <w:p w14:paraId="734F8E7C">
      <w:pPr>
        <w:pStyle w:val="56"/>
        <w:ind w:firstLine="420"/>
        <w:rPr>
          <w:rFonts w:ascii="宋体" w:hAnsi="宋体"/>
        </w:rPr>
      </w:pPr>
      <w:r>
        <w:rPr>
          <w:rFonts w:hint="eastAsia" w:ascii="宋体" w:hAnsi="宋体"/>
        </w:rPr>
        <w:t>用户（8.3）主动通过系统已明确的有效方式影响功能型无人车执行动态驾驶任务的行为。</w:t>
      </w:r>
    </w:p>
    <w:p w14:paraId="4E1A130C">
      <w:pPr>
        <w:pStyle w:val="224"/>
        <w:ind w:left="420" w:hanging="420" w:hangingChars="200"/>
        <w:rPr>
          <w:rFonts w:ascii="黑体" w:hAnsi="黑体" w:eastAsia="黑体"/>
        </w:rPr>
      </w:pPr>
      <w:r>
        <w:rPr>
          <w:rFonts w:ascii="黑体" w:hAnsi="黑体" w:eastAsia="黑体"/>
        </w:rPr>
        <w:br w:type="textWrapping"/>
      </w:r>
      <w:bookmarkStart w:id="71" w:name="OLE_LINK36"/>
      <w:r>
        <w:rPr>
          <w:rFonts w:hint="eastAsia" w:ascii="黑体" w:hAnsi="黑体" w:eastAsia="黑体"/>
        </w:rPr>
        <w:t>介入请求  request to intervene</w:t>
      </w:r>
    </w:p>
    <w:p w14:paraId="50D4BDEE">
      <w:pPr>
        <w:pStyle w:val="56"/>
        <w:ind w:firstLine="420"/>
        <w:rPr>
          <w:rFonts w:ascii="宋体" w:hAnsi="宋体"/>
        </w:rPr>
      </w:pPr>
      <w:r>
        <w:rPr>
          <w:rFonts w:ascii="宋体" w:hAnsi="宋体"/>
        </w:rPr>
        <w:t>功能型无人车在检测到运行环境或系统状态异常时，</w:t>
      </w:r>
      <w:r>
        <w:rPr>
          <w:rFonts w:hint="eastAsia" w:ascii="宋体" w:hAnsi="宋体"/>
        </w:rPr>
        <w:t>向后援用户</w:t>
      </w:r>
      <w:r>
        <w:rPr>
          <w:rFonts w:ascii="宋体" w:hAnsi="宋体"/>
        </w:rPr>
        <w:t>发出的请求人工干预的通知。</w:t>
      </w:r>
    </w:p>
    <w:bookmarkEnd w:id="70"/>
    <w:bookmarkEnd w:id="71"/>
    <w:p w14:paraId="034125AB">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接管  take over</w:t>
      </w:r>
    </w:p>
    <w:p w14:paraId="754EB156">
      <w:pPr>
        <w:pStyle w:val="56"/>
        <w:ind w:firstLine="420"/>
        <w:rPr>
          <w:rFonts w:ascii="宋体" w:hAnsi="宋体"/>
        </w:rPr>
      </w:pPr>
      <w:r>
        <w:rPr>
          <w:rFonts w:hint="eastAsia" w:ascii="宋体" w:hAnsi="宋体"/>
        </w:rPr>
        <w:t>动态驾驶任务后援用户响应介入请求，从无人车自动化系统（5.1）获得产品控制权的行为。</w:t>
      </w:r>
    </w:p>
    <w:p w14:paraId="30D744A1">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信息安全  information security</w:t>
      </w:r>
    </w:p>
    <w:p w14:paraId="4D709AD8">
      <w:pPr>
        <w:pStyle w:val="56"/>
        <w:ind w:firstLine="420"/>
      </w:pPr>
      <w:r>
        <w:rPr>
          <w:rFonts w:hint="eastAsia"/>
        </w:rPr>
        <w:t>对信息的保密性、完整性和可用性的保全。</w:t>
      </w:r>
    </w:p>
    <w:p w14:paraId="73F13FCF">
      <w:pPr>
        <w:pStyle w:val="179"/>
      </w:pPr>
      <w:r>
        <w:rPr>
          <w:rFonts w:hint="eastAsia"/>
        </w:rPr>
        <w:t>另外，还可能包括诸如真实性、可问责性、抗抵赖性和可靠性等其他性质。</w:t>
      </w:r>
    </w:p>
    <w:p w14:paraId="274CCE99">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保密性  confidentiality</w:t>
      </w:r>
    </w:p>
    <w:p w14:paraId="489E9135">
      <w:pPr>
        <w:pStyle w:val="56"/>
        <w:ind w:firstLine="420"/>
        <w:rPr>
          <w:rFonts w:ascii="宋体" w:hAnsi="宋体"/>
        </w:rPr>
      </w:pPr>
      <w:r>
        <w:rPr>
          <w:rFonts w:hint="eastAsia" w:ascii="宋体" w:hAnsi="宋体"/>
        </w:rPr>
        <w:t>信息对未经授权的个人、实体或过程不可用或不泄露的性质。</w:t>
      </w:r>
    </w:p>
    <w:p w14:paraId="4D55767E">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完整性  integrity</w:t>
      </w:r>
    </w:p>
    <w:p w14:paraId="62AF9DA8">
      <w:pPr>
        <w:pStyle w:val="56"/>
        <w:ind w:firstLine="420"/>
        <w:rPr>
          <w:rFonts w:ascii="宋体" w:hAnsi="宋体"/>
        </w:rPr>
      </w:pPr>
      <w:r>
        <w:rPr>
          <w:rFonts w:hint="eastAsia" w:ascii="宋体" w:hAnsi="宋体"/>
        </w:rPr>
        <w:t>准确和完备的性质。</w:t>
      </w:r>
    </w:p>
    <w:p w14:paraId="661A683D">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可用性  availability</w:t>
      </w:r>
    </w:p>
    <w:p w14:paraId="1E1DCE9E">
      <w:pPr>
        <w:pStyle w:val="56"/>
        <w:ind w:firstLine="420"/>
        <w:rPr>
          <w:rFonts w:ascii="宋体" w:hAnsi="宋体"/>
        </w:rPr>
      </w:pPr>
      <w:r>
        <w:rPr>
          <w:rFonts w:hint="eastAsia" w:ascii="宋体" w:hAnsi="宋体"/>
        </w:rPr>
        <w:t>可由经授权实体按需访问和使用的性质。</w:t>
      </w:r>
    </w:p>
    <w:p w14:paraId="3A04944D">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真实性  authenticity</w:t>
      </w:r>
    </w:p>
    <w:p w14:paraId="5CBA20EB">
      <w:pPr>
        <w:pStyle w:val="56"/>
        <w:ind w:firstLine="420"/>
        <w:rPr>
          <w:rFonts w:ascii="宋体" w:hAnsi="宋体"/>
        </w:rPr>
      </w:pPr>
      <w:r>
        <w:rPr>
          <w:rFonts w:hint="eastAsia" w:ascii="宋体" w:hAnsi="宋体"/>
        </w:rPr>
        <w:t>一个实体是其所声称实体的性质。</w:t>
      </w:r>
    </w:p>
    <w:p w14:paraId="3644513F">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抗抵赖性  non-repudiation</w:t>
      </w:r>
    </w:p>
    <w:p w14:paraId="75EDB015">
      <w:pPr>
        <w:pStyle w:val="56"/>
        <w:ind w:firstLine="420"/>
        <w:rPr>
          <w:rFonts w:ascii="宋体" w:hAnsi="宋体"/>
        </w:rPr>
      </w:pPr>
      <w:r>
        <w:rPr>
          <w:rFonts w:hint="eastAsia" w:ascii="宋体" w:hAnsi="宋体"/>
        </w:rPr>
        <w:t>证明所声称事态或行动的发生及其起源实体的能力。</w:t>
      </w:r>
    </w:p>
    <w:p w14:paraId="33D5EF11">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可靠性  reliability</w:t>
      </w:r>
    </w:p>
    <w:p w14:paraId="31412D8D">
      <w:pPr>
        <w:pStyle w:val="56"/>
        <w:ind w:firstLine="420"/>
        <w:rPr>
          <w:rFonts w:ascii="宋体" w:hAnsi="宋体"/>
        </w:rPr>
      </w:pPr>
      <w:r>
        <w:rPr>
          <w:rFonts w:hint="eastAsia" w:ascii="宋体" w:hAnsi="宋体"/>
        </w:rPr>
        <w:t>与预期行为和结果一致的性质。</w:t>
      </w:r>
    </w:p>
    <w:p w14:paraId="47D866E9">
      <w:pPr>
        <w:pStyle w:val="104"/>
        <w:spacing w:before="240" w:after="240"/>
      </w:pPr>
      <w:bookmarkStart w:id="72" w:name="_Toc213076294"/>
      <w:bookmarkStart w:id="73" w:name="_Toc217289744"/>
      <w:r>
        <w:rPr>
          <w:rFonts w:hint="eastAsia"/>
        </w:rPr>
        <w:t>关键技术</w:t>
      </w:r>
      <w:bookmarkEnd w:id="72"/>
      <w:bookmarkEnd w:id="73"/>
    </w:p>
    <w:p w14:paraId="37439470">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感知  perception</w:t>
      </w:r>
    </w:p>
    <w:p w14:paraId="3A060A1F">
      <w:pPr>
        <w:pStyle w:val="56"/>
        <w:ind w:firstLine="420"/>
        <w:rPr>
          <w:rFonts w:ascii="宋体" w:hAnsi="宋体"/>
        </w:rPr>
      </w:pPr>
      <w:bookmarkStart w:id="74" w:name="OLE_LINK44"/>
      <w:r>
        <w:rPr>
          <w:rFonts w:hint="eastAsia" w:ascii="宋体" w:hAnsi="宋体"/>
        </w:rPr>
        <w:t>功能型无人车</w:t>
      </w:r>
      <w:bookmarkEnd w:id="74"/>
      <w:r>
        <w:rPr>
          <w:rFonts w:hint="eastAsia" w:ascii="宋体" w:hAnsi="宋体"/>
        </w:rPr>
        <w:t>识别周边行驶环境信息的技术。</w:t>
      </w:r>
    </w:p>
    <w:p w14:paraId="38490E62">
      <w:pPr>
        <w:pStyle w:val="179"/>
      </w:pPr>
      <w:r>
        <w:rPr>
          <w:rFonts w:hint="eastAsia"/>
        </w:rPr>
        <w:t>周边行驶环境包括可通行区域、道路标志、道路标线、交通参与者、障碍物等。</w:t>
      </w:r>
    </w:p>
    <w:p w14:paraId="65B9A3A2">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预测  prediction</w:t>
      </w:r>
    </w:p>
    <w:p w14:paraId="7BFF4D2D">
      <w:pPr>
        <w:pStyle w:val="56"/>
        <w:ind w:firstLine="420"/>
        <w:rPr>
          <w:rFonts w:ascii="宋体" w:hAnsi="宋体"/>
        </w:rPr>
      </w:pPr>
      <w:r>
        <w:rPr>
          <w:rFonts w:hint="eastAsia" w:ascii="宋体" w:hAnsi="宋体"/>
        </w:rPr>
        <w:t>功能型无人车推测周边行驶环境潜在变化的技术。</w:t>
      </w:r>
    </w:p>
    <w:p w14:paraId="1DC77C7C">
      <w:pPr>
        <w:pStyle w:val="179"/>
      </w:pPr>
      <w:r>
        <w:rPr>
          <w:rFonts w:hint="eastAsia"/>
        </w:rPr>
        <w:t>“周边行驶环境”包括可通行区域、道路标志、道路标线、交通参与者、障碍物等。</w:t>
      </w:r>
    </w:p>
    <w:p w14:paraId="08FF537A">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定位  localization</w:t>
      </w:r>
    </w:p>
    <w:p w14:paraId="46322C29">
      <w:pPr>
        <w:pStyle w:val="56"/>
        <w:ind w:firstLine="420"/>
        <w:rPr>
          <w:rFonts w:ascii="宋体" w:hAnsi="宋体"/>
        </w:rPr>
      </w:pPr>
      <w:r>
        <w:rPr>
          <w:rFonts w:hint="eastAsia" w:ascii="宋体" w:hAnsi="宋体"/>
        </w:rPr>
        <w:t>功能型无人车确定自身位置的技术。</w:t>
      </w:r>
    </w:p>
    <w:p w14:paraId="0DD50D9E">
      <w:pPr>
        <w:pStyle w:val="179"/>
      </w:pPr>
      <w:r>
        <w:rPr>
          <w:rFonts w:hint="eastAsia"/>
        </w:rPr>
        <w:t>常见方法包括同步定位与建图技术、卫星导航技术、惯性导航技术、环境特征匹配技术等。</w:t>
      </w:r>
    </w:p>
    <w:p w14:paraId="41782F61">
      <w:pPr>
        <w:pStyle w:val="223"/>
        <w:ind w:left="420" w:hanging="420" w:hangingChars="200"/>
        <w:rPr>
          <w:rFonts w:ascii="黑体" w:hAnsi="黑体" w:eastAsia="黑体"/>
        </w:rPr>
      </w:pPr>
      <w:r>
        <w:rPr>
          <w:rFonts w:ascii="黑体" w:hAnsi="黑体" w:eastAsia="黑体"/>
        </w:rPr>
        <w:br w:type="textWrapping"/>
      </w:r>
      <w:bookmarkStart w:id="75" w:name="OLE_LINK25"/>
      <w:r>
        <w:rPr>
          <w:rFonts w:hint="eastAsia" w:ascii="黑体" w:hAnsi="黑体" w:eastAsia="黑体"/>
        </w:rPr>
        <w:t>决策  decision</w:t>
      </w:r>
    </w:p>
    <w:p w14:paraId="3ABE72EE">
      <w:pPr>
        <w:pStyle w:val="56"/>
        <w:ind w:firstLine="420"/>
        <w:rPr>
          <w:rFonts w:ascii="宋体" w:hAnsi="宋体"/>
        </w:rPr>
      </w:pPr>
      <w:bookmarkStart w:id="76" w:name="OLE_LINK45"/>
      <w:r>
        <w:rPr>
          <w:rFonts w:hint="eastAsia" w:ascii="宋体" w:hAnsi="宋体"/>
        </w:rPr>
        <w:t>功能型无人车</w:t>
      </w:r>
      <w:bookmarkEnd w:id="76"/>
      <w:r>
        <w:rPr>
          <w:rFonts w:hint="eastAsia" w:ascii="宋体" w:hAnsi="宋体"/>
        </w:rPr>
        <w:t>根据感知信息与任务目标，确定自身运动行为及作业行为的技术。</w:t>
      </w:r>
    </w:p>
    <w:p w14:paraId="374BF45F">
      <w:pPr>
        <w:pStyle w:val="180"/>
      </w:pPr>
      <w:r>
        <w:rPr>
          <w:rFonts w:hint="eastAsia"/>
        </w:rPr>
        <w:t>“</w:t>
      </w:r>
      <w:r>
        <w:t>运动行为</w:t>
      </w:r>
      <w:r>
        <w:rPr>
          <w:rFonts w:hint="eastAsia"/>
        </w:rPr>
        <w:t>”</w:t>
      </w:r>
      <w:r>
        <w:t>包括跟随、转向、避障、路径调整、停止等</w:t>
      </w:r>
      <w:r>
        <w:rPr>
          <w:rFonts w:hint="eastAsia"/>
        </w:rPr>
        <w:t>行为。</w:t>
      </w:r>
    </w:p>
    <w:p w14:paraId="7B0F2F32">
      <w:pPr>
        <w:pStyle w:val="180"/>
      </w:pPr>
      <w:r>
        <w:rPr>
          <w:rFonts w:hint="eastAsia"/>
        </w:rPr>
        <w:t>“</w:t>
      </w:r>
      <w:r>
        <w:t>作业行为</w:t>
      </w:r>
      <w:r>
        <w:rPr>
          <w:rFonts w:hint="eastAsia"/>
        </w:rPr>
        <w:t>”包括执行与任务目标相关的功能性操作，如运输与配送、安防巡检、零售与服务、环卫清洁、接驳与乘载、检测与维护等。</w:t>
      </w:r>
    </w:p>
    <w:bookmarkEnd w:id="75"/>
    <w:p w14:paraId="77EAA72A">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规划  planning</w:t>
      </w:r>
    </w:p>
    <w:p w14:paraId="001C017B">
      <w:pPr>
        <w:pStyle w:val="56"/>
        <w:ind w:firstLine="420"/>
        <w:rPr>
          <w:rFonts w:ascii="宋体" w:hAnsi="宋体"/>
        </w:rPr>
      </w:pPr>
      <w:r>
        <w:rPr>
          <w:rFonts w:hint="eastAsia" w:ascii="宋体" w:hAnsi="宋体"/>
        </w:rPr>
        <w:t>功能型无人车确定车辆预期行驶轨迹的技术。</w:t>
      </w:r>
    </w:p>
    <w:p w14:paraId="4D716BAD">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运动控制  motion control</w:t>
      </w:r>
    </w:p>
    <w:p w14:paraId="1FCF3228">
      <w:pPr>
        <w:pStyle w:val="56"/>
        <w:ind w:firstLine="420"/>
        <w:rPr>
          <w:rFonts w:ascii="宋体" w:hAnsi="宋体"/>
        </w:rPr>
      </w:pPr>
      <w:r>
        <w:rPr>
          <w:rFonts w:hint="eastAsia" w:ascii="宋体" w:hAnsi="宋体"/>
        </w:rPr>
        <w:t>功能型无人车通过横/纵向驾驶操纵按照规划(4.5)的轨迹行驶的技术。</w:t>
      </w:r>
    </w:p>
    <w:p w14:paraId="6AC3E2F9">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在线升级  over-the-air update；OTA update</w:t>
      </w:r>
    </w:p>
    <w:p w14:paraId="77E75E5E">
      <w:pPr>
        <w:pStyle w:val="56"/>
        <w:ind w:firstLine="420"/>
        <w:rPr>
          <w:rFonts w:ascii="宋体" w:hAnsi="宋体"/>
        </w:rPr>
      </w:pPr>
      <w:r>
        <w:rPr>
          <w:rFonts w:hint="eastAsia" w:ascii="宋体" w:hAnsi="宋体"/>
        </w:rPr>
        <w:t>通过无线方式而不是使用电缆或其他本地连接方式将升级包传输到功能型无人车的软件升级。</w:t>
      </w:r>
    </w:p>
    <w:p w14:paraId="5F25EFF5">
      <w:pPr>
        <w:pStyle w:val="179"/>
      </w:pPr>
      <w:r>
        <w:rPr>
          <w:rFonts w:hint="eastAsia"/>
        </w:rPr>
        <w:t>“在线升级”也称“远程升级”。</w:t>
      </w:r>
    </w:p>
    <w:p w14:paraId="5C37AF6F">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人工智能系统  artificial intelligence system</w:t>
      </w:r>
    </w:p>
    <w:p w14:paraId="5F521083">
      <w:pPr>
        <w:pStyle w:val="56"/>
        <w:ind w:firstLine="420"/>
        <w:rPr>
          <w:rFonts w:ascii="宋体" w:hAnsi="宋体"/>
        </w:rPr>
      </w:pPr>
      <w:r>
        <w:rPr>
          <w:rFonts w:hint="eastAsia" w:ascii="宋体" w:hAnsi="宋体"/>
        </w:rPr>
        <w:t>针对人类定义的给定目标</w:t>
      </w:r>
      <w:r>
        <w:rPr>
          <w:rFonts w:ascii="宋体" w:hAnsi="宋体"/>
        </w:rPr>
        <w:t>，</w:t>
      </w:r>
      <w:r>
        <w:rPr>
          <w:rFonts w:hint="eastAsia" w:ascii="宋体" w:hAnsi="宋体"/>
        </w:rPr>
        <w:t>产生诸如内容、预测、推荐或决策等输出的一类工程系统。</w:t>
      </w:r>
    </w:p>
    <w:p w14:paraId="6A504D99">
      <w:pPr>
        <w:pStyle w:val="180"/>
        <w:numPr>
          <w:ilvl w:val="0"/>
          <w:numId w:val="32"/>
        </w:numPr>
      </w:pPr>
      <w:r>
        <w:rPr>
          <w:rFonts w:hint="eastAsia"/>
        </w:rPr>
        <w:t>该工程系统使用人工智能相关的多种技术和方法，开发表征数据、知识、过程等的模型，用于执行任务。</w:t>
      </w:r>
    </w:p>
    <w:p w14:paraId="25BDE8E2">
      <w:pPr>
        <w:pStyle w:val="180"/>
      </w:pPr>
      <w:r>
        <w:rPr>
          <w:rFonts w:hint="eastAsia"/>
        </w:rPr>
        <w:t>人工智能系统具备不同的自动化级别。</w:t>
      </w:r>
    </w:p>
    <w:p w14:paraId="3F970E4F">
      <w:pPr>
        <w:pStyle w:val="56"/>
        <w:ind w:firstLine="420"/>
        <w:rPr>
          <w:rFonts w:ascii="宋体" w:hAnsi="宋体"/>
        </w:rPr>
      </w:pPr>
      <w:bookmarkStart w:id="77" w:name="OLE_LINK12"/>
      <w:r>
        <w:rPr>
          <w:rFonts w:hint="eastAsia" w:ascii="宋体" w:hAnsi="宋体"/>
        </w:rPr>
        <w:t>[来源：GB/T 41867—2022，3.1.8]</w:t>
      </w:r>
      <w:bookmarkEnd w:id="77"/>
    </w:p>
    <w:p w14:paraId="57FBBAA1">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大模型  large-scale model</w:t>
      </w:r>
    </w:p>
    <w:p w14:paraId="6F338B34">
      <w:pPr>
        <w:pStyle w:val="56"/>
        <w:ind w:firstLine="420"/>
        <w:rPr>
          <w:rFonts w:ascii="宋体" w:hAnsi="宋体"/>
        </w:rPr>
      </w:pPr>
      <w:r>
        <w:rPr>
          <w:rFonts w:hint="eastAsia" w:ascii="宋体" w:hAnsi="宋体"/>
        </w:rPr>
        <w:t>大规模深度学习模型</w:t>
      </w:r>
      <w:r>
        <w:rPr>
          <w:rFonts w:ascii="宋体" w:hAnsi="宋体"/>
        </w:rPr>
        <w:t xml:space="preserve">  large-scale deep learning model</w:t>
      </w:r>
    </w:p>
    <w:p w14:paraId="27703198">
      <w:pPr>
        <w:pStyle w:val="56"/>
        <w:ind w:firstLine="420"/>
        <w:rPr>
          <w:rFonts w:ascii="宋体" w:hAnsi="宋体"/>
        </w:rPr>
      </w:pPr>
      <w:r>
        <w:rPr>
          <w:rFonts w:hint="eastAsia" w:ascii="宋体" w:hAnsi="宋体"/>
        </w:rPr>
        <w:t>基于大量数据训练得到</w:t>
      </w:r>
      <w:r>
        <w:rPr>
          <w:rFonts w:ascii="宋体" w:hAnsi="宋体"/>
        </w:rPr>
        <w:t>，</w:t>
      </w:r>
      <w:r>
        <w:rPr>
          <w:rFonts w:hint="eastAsia" w:ascii="宋体" w:hAnsi="宋体"/>
        </w:rPr>
        <w:t>具有复杂计算架构</w:t>
      </w:r>
      <w:r>
        <w:rPr>
          <w:rFonts w:ascii="宋体" w:hAnsi="宋体"/>
        </w:rPr>
        <w:t>，</w:t>
      </w:r>
      <w:r>
        <w:rPr>
          <w:rFonts w:hint="eastAsia" w:ascii="宋体" w:hAnsi="宋体"/>
        </w:rPr>
        <w:t>能处理复杂任务</w:t>
      </w:r>
      <w:r>
        <w:rPr>
          <w:rFonts w:ascii="宋体" w:hAnsi="宋体"/>
        </w:rPr>
        <w:t>，</w:t>
      </w:r>
      <w:r>
        <w:rPr>
          <w:rFonts w:hint="eastAsia" w:ascii="宋体" w:hAnsi="宋体"/>
        </w:rPr>
        <w:t>且具备一定泛化性的深度学习模型。</w:t>
      </w:r>
    </w:p>
    <w:p w14:paraId="162B56AF">
      <w:pPr>
        <w:pStyle w:val="179"/>
      </w:pPr>
      <w:r>
        <w:rPr>
          <w:rFonts w:hint="eastAsia"/>
        </w:rPr>
        <w:t>大模型的参数量由其功能和模态决定</w:t>
      </w:r>
      <w:r>
        <w:t>，</w:t>
      </w:r>
      <w:r>
        <w:rPr>
          <w:rFonts w:hint="eastAsia"/>
        </w:rPr>
        <w:t>一般不低于</w:t>
      </w:r>
      <w:r>
        <w:t>1</w:t>
      </w:r>
      <w:r>
        <w:rPr>
          <w:rFonts w:hint="eastAsia"/>
        </w:rPr>
        <w:t>亿。大模型训练使用的数据总量受参数量的影响</w:t>
      </w:r>
      <w:r>
        <w:t>，</w:t>
      </w:r>
      <w:r>
        <w:rPr>
          <w:rFonts w:hint="eastAsia"/>
        </w:rPr>
        <w:t>达到收敛的大模型的参数量的对数与其训练数据总量的对数成正比。</w:t>
      </w:r>
    </w:p>
    <w:p w14:paraId="17A92F79">
      <w:pPr>
        <w:pStyle w:val="56"/>
        <w:ind w:firstLine="420"/>
        <w:rPr>
          <w:rFonts w:ascii="宋体" w:hAnsi="宋体"/>
        </w:rPr>
      </w:pPr>
      <w:bookmarkStart w:id="78" w:name="OLE_LINK1"/>
      <w:bookmarkStart w:id="79" w:name="OLE_LINK3"/>
      <w:bookmarkStart w:id="80" w:name="OLE_LINK11"/>
      <w:r>
        <w:rPr>
          <w:rFonts w:hint="eastAsia" w:ascii="宋体" w:hAnsi="宋体"/>
        </w:rPr>
        <w:t>[来源：GB/T 45288.1—2025</w:t>
      </w:r>
      <w:bookmarkEnd w:id="78"/>
      <w:r>
        <w:rPr>
          <w:rFonts w:hint="eastAsia" w:ascii="宋体" w:hAnsi="宋体"/>
        </w:rPr>
        <w:t>，3.1]</w:t>
      </w:r>
      <w:bookmarkEnd w:id="79"/>
    </w:p>
    <w:bookmarkEnd w:id="80"/>
    <w:p w14:paraId="508EFBC3">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机器学习  machine learning</w:t>
      </w:r>
    </w:p>
    <w:p w14:paraId="185D5AA2">
      <w:pPr>
        <w:pStyle w:val="56"/>
        <w:ind w:firstLine="420"/>
        <w:rPr>
          <w:rFonts w:ascii="宋体" w:hAnsi="宋体"/>
        </w:rPr>
      </w:pPr>
      <w:r>
        <w:rPr>
          <w:rFonts w:hint="eastAsia" w:ascii="宋体" w:hAnsi="宋体"/>
        </w:rPr>
        <w:t>通过计算技术优化模型参数的过程</w:t>
      </w:r>
      <w:r>
        <w:rPr>
          <w:rFonts w:ascii="宋体" w:hAnsi="宋体"/>
        </w:rPr>
        <w:t>，</w:t>
      </w:r>
      <w:r>
        <w:rPr>
          <w:rFonts w:hint="eastAsia" w:ascii="宋体" w:hAnsi="宋体"/>
        </w:rPr>
        <w:t>使模型的行为反映数据或经验</w:t>
      </w:r>
    </w:p>
    <w:p w14:paraId="7A0DE953">
      <w:pPr>
        <w:pStyle w:val="56"/>
        <w:ind w:firstLine="420"/>
        <w:rPr>
          <w:rFonts w:ascii="宋体" w:hAnsi="宋体"/>
        </w:rPr>
      </w:pPr>
      <w:bookmarkStart w:id="81" w:name="OLE_LINK13"/>
      <w:r>
        <w:rPr>
          <w:rFonts w:hint="eastAsia" w:ascii="宋体" w:hAnsi="宋体"/>
        </w:rPr>
        <w:t>[来源：GB/T 41867—2022，3.1.10]</w:t>
      </w:r>
      <w:bookmarkEnd w:id="81"/>
    </w:p>
    <w:p w14:paraId="28F45215">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模型训练  model training</w:t>
      </w:r>
    </w:p>
    <w:p w14:paraId="3FFDC785">
      <w:pPr>
        <w:pStyle w:val="56"/>
        <w:ind w:firstLine="420"/>
        <w:rPr>
          <w:rFonts w:ascii="宋体" w:hAnsi="宋体"/>
        </w:rPr>
      </w:pPr>
      <w:r>
        <w:rPr>
          <w:rFonts w:hint="eastAsia" w:ascii="宋体" w:hAnsi="宋体"/>
        </w:rPr>
        <w:t>利用训练数据</w:t>
      </w:r>
      <w:r>
        <w:rPr>
          <w:rFonts w:ascii="宋体" w:hAnsi="宋体"/>
        </w:rPr>
        <w:t>，</w:t>
      </w:r>
      <w:r>
        <w:rPr>
          <w:rFonts w:hint="eastAsia" w:ascii="宋体" w:hAnsi="宋体"/>
        </w:rPr>
        <w:t>基于机器学习算法</w:t>
      </w:r>
      <w:r>
        <w:rPr>
          <w:rFonts w:ascii="宋体" w:hAnsi="宋体"/>
        </w:rPr>
        <w:t>，</w:t>
      </w:r>
      <w:r>
        <w:rPr>
          <w:rFonts w:hint="eastAsia" w:ascii="宋体" w:hAnsi="宋体"/>
        </w:rPr>
        <w:t>确定或改进机器学习模型参数的过程。</w:t>
      </w:r>
    </w:p>
    <w:p w14:paraId="05DC15A2">
      <w:pPr>
        <w:pStyle w:val="56"/>
        <w:ind w:firstLine="420"/>
        <w:rPr>
          <w:rFonts w:ascii="宋体" w:hAnsi="宋体"/>
        </w:rPr>
      </w:pPr>
      <w:bookmarkStart w:id="82" w:name="OLE_LINK14"/>
      <w:r>
        <w:rPr>
          <w:rFonts w:hint="eastAsia" w:ascii="宋体" w:hAnsi="宋体"/>
        </w:rPr>
        <w:t>[来源：GB/T 41867—2022，3.2.18]</w:t>
      </w:r>
    </w:p>
    <w:bookmarkEnd w:id="82"/>
    <w:p w14:paraId="673692EF">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模型优化  model optimization</w:t>
      </w:r>
    </w:p>
    <w:p w14:paraId="5E0AB307">
      <w:pPr>
        <w:pStyle w:val="56"/>
        <w:ind w:firstLine="420"/>
        <w:rPr>
          <w:rFonts w:ascii="宋体" w:hAnsi="宋体"/>
        </w:rPr>
      </w:pPr>
      <w:r>
        <w:rPr>
          <w:rFonts w:hint="eastAsia" w:ascii="宋体" w:hAnsi="宋体"/>
        </w:rPr>
        <w:t>提升模型执行速度</w:t>
      </w:r>
      <w:r>
        <w:rPr>
          <w:rFonts w:ascii="宋体" w:hAnsi="宋体"/>
        </w:rPr>
        <w:t>，</w:t>
      </w:r>
      <w:r>
        <w:rPr>
          <w:rFonts w:hint="eastAsia" w:ascii="宋体" w:hAnsi="宋体"/>
        </w:rPr>
        <w:t>泛化能力</w:t>
      </w:r>
      <w:r>
        <w:rPr>
          <w:rFonts w:ascii="宋体" w:hAnsi="宋体"/>
        </w:rPr>
        <w:t>，</w:t>
      </w:r>
      <w:r>
        <w:rPr>
          <w:rFonts w:hint="eastAsia" w:ascii="宋体" w:hAnsi="宋体"/>
        </w:rPr>
        <w:t>或改善利益相关方所关心的其他特性的方法。</w:t>
      </w:r>
    </w:p>
    <w:p w14:paraId="33AFC5AC">
      <w:pPr>
        <w:pStyle w:val="179"/>
      </w:pPr>
      <w:r>
        <w:rPr>
          <w:rFonts w:hint="eastAsia"/>
        </w:rPr>
        <w:t>如神经网络模型优化的方式包含剪枝、量化、调整参数、调整模型深度和宽度、增减特征或根据硬件平台具体特性重新安排聚合算子等。</w:t>
      </w:r>
    </w:p>
    <w:p w14:paraId="793F3212">
      <w:pPr>
        <w:pStyle w:val="56"/>
        <w:ind w:firstLine="420"/>
        <w:rPr>
          <w:rFonts w:ascii="宋体" w:hAnsi="宋体"/>
        </w:rPr>
      </w:pPr>
      <w:bookmarkStart w:id="83" w:name="OLE_LINK15"/>
      <w:r>
        <w:rPr>
          <w:rFonts w:hint="eastAsia" w:ascii="宋体" w:hAnsi="宋体"/>
        </w:rPr>
        <w:t>[来源：GB/T 41867—2022，3.2.19]</w:t>
      </w:r>
    </w:p>
    <w:bookmarkEnd w:id="83"/>
    <w:p w14:paraId="0870CD89">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神经网络  neural network；neural net；artificial neural network</w:t>
      </w:r>
    </w:p>
    <w:p w14:paraId="6A89B0F2">
      <w:pPr>
        <w:pStyle w:val="56"/>
        <w:ind w:firstLine="420"/>
        <w:rPr>
          <w:rFonts w:ascii="宋体" w:hAnsi="宋体"/>
        </w:rPr>
      </w:pPr>
      <w:r>
        <w:rPr>
          <w:rFonts w:hint="eastAsia" w:ascii="宋体" w:hAnsi="宋体"/>
        </w:rPr>
        <w:t>由一层或多层神经元组成的网络</w:t>
      </w:r>
      <w:r>
        <w:rPr>
          <w:rFonts w:ascii="宋体" w:hAnsi="宋体"/>
        </w:rPr>
        <w:t>，</w:t>
      </w:r>
      <w:r>
        <w:rPr>
          <w:rFonts w:hint="eastAsia" w:ascii="宋体" w:hAnsi="宋体"/>
        </w:rPr>
        <w:t>通过权值可调的加权连接</w:t>
      </w:r>
      <w:r>
        <w:rPr>
          <w:rFonts w:ascii="宋体" w:hAnsi="宋体"/>
        </w:rPr>
        <w:t>，</w:t>
      </w:r>
      <w:r>
        <w:rPr>
          <w:rFonts w:hint="eastAsia" w:ascii="宋体" w:hAnsi="宋体"/>
        </w:rPr>
        <w:t>接收输入数据并产生输出。</w:t>
      </w:r>
    </w:p>
    <w:p w14:paraId="3F562C40">
      <w:pPr>
        <w:pStyle w:val="180"/>
        <w:numPr>
          <w:ilvl w:val="0"/>
          <w:numId w:val="33"/>
        </w:numPr>
      </w:pPr>
      <w:r>
        <w:rPr>
          <w:rFonts w:hint="eastAsia"/>
        </w:rPr>
        <w:t>神经网络是连接主义方法的一个突出例子。</w:t>
      </w:r>
    </w:p>
    <w:p w14:paraId="67EC6226">
      <w:pPr>
        <w:pStyle w:val="180"/>
      </w:pPr>
      <w:r>
        <w:rPr>
          <w:rFonts w:hint="eastAsia"/>
        </w:rPr>
        <w:t>虽然神经网络的设计最初是受生物神经元功能的启发，但大多数神经网络的研究不再遵循这种启发。</w:t>
      </w:r>
    </w:p>
    <w:p w14:paraId="727E2FE8">
      <w:pPr>
        <w:pStyle w:val="56"/>
        <w:ind w:firstLine="420"/>
        <w:rPr>
          <w:rFonts w:ascii="宋体" w:hAnsi="宋体"/>
        </w:rPr>
      </w:pPr>
      <w:bookmarkStart w:id="84" w:name="OLE_LINK16"/>
      <w:r>
        <w:rPr>
          <w:rFonts w:hint="eastAsia" w:ascii="宋体" w:hAnsi="宋体"/>
        </w:rPr>
        <w:t>[来源：GB/T 41867—2022，3.2.26]</w:t>
      </w:r>
    </w:p>
    <w:bookmarkEnd w:id="84"/>
    <w:p w14:paraId="6E00CAE5">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深度学习  deep learning</w:t>
      </w:r>
    </w:p>
    <w:p w14:paraId="1CDA80F6">
      <w:pPr>
        <w:pStyle w:val="56"/>
        <w:ind w:firstLine="420"/>
        <w:rPr>
          <w:rFonts w:ascii="宋体" w:hAnsi="宋体"/>
        </w:rPr>
      </w:pPr>
      <w:r>
        <w:rPr>
          <w:rFonts w:hint="eastAsia" w:ascii="宋体" w:hAnsi="宋体"/>
        </w:rPr>
        <w:t xml:space="preserve">深度神经网络学习  </w:t>
      </w:r>
      <w:r>
        <w:rPr>
          <w:rFonts w:ascii="宋体" w:hAnsi="宋体"/>
        </w:rPr>
        <w:t>deepneural network learning</w:t>
      </w:r>
    </w:p>
    <w:p w14:paraId="2F749786">
      <w:pPr>
        <w:pStyle w:val="56"/>
        <w:ind w:firstLine="420"/>
        <w:rPr>
          <w:rFonts w:ascii="宋体" w:hAnsi="宋体"/>
        </w:rPr>
      </w:pPr>
      <w:r>
        <w:rPr>
          <w:rFonts w:hint="eastAsia" w:ascii="宋体" w:hAnsi="宋体"/>
        </w:rPr>
        <w:t>通过训练具有许多隐层的神经网络来创建丰富层次表示的方法。</w:t>
      </w:r>
    </w:p>
    <w:p w14:paraId="45B09C6E">
      <w:pPr>
        <w:pStyle w:val="56"/>
        <w:ind w:firstLine="420"/>
        <w:rPr>
          <w:rFonts w:ascii="宋体" w:hAnsi="宋体"/>
        </w:rPr>
      </w:pPr>
      <w:r>
        <w:rPr>
          <w:rFonts w:hint="eastAsia" w:ascii="宋体" w:hAnsi="宋体"/>
        </w:rPr>
        <w:t>[来源：GB/T 41867—2022，3.2.27]</w:t>
      </w:r>
    </w:p>
    <w:bookmarkEnd w:id="52"/>
    <w:bookmarkEnd w:id="53"/>
    <w:p w14:paraId="34F3BF51">
      <w:pPr>
        <w:pStyle w:val="104"/>
        <w:spacing w:before="240" w:after="240"/>
      </w:pPr>
      <w:bookmarkStart w:id="85" w:name="_Toc213076295"/>
      <w:bookmarkStart w:id="86" w:name="_Toc217289745"/>
      <w:r>
        <w:rPr>
          <w:rFonts w:hint="eastAsia"/>
        </w:rPr>
        <w:t>系统部件</w:t>
      </w:r>
      <w:bookmarkEnd w:id="85"/>
      <w:bookmarkEnd w:id="86"/>
    </w:p>
    <w:p w14:paraId="557FDB7B">
      <w:pPr>
        <w:pStyle w:val="223"/>
        <w:ind w:left="420" w:hanging="420" w:hangingChars="200"/>
        <w:rPr>
          <w:rFonts w:ascii="黑体" w:hAnsi="黑体" w:eastAsia="黑体"/>
        </w:rPr>
      </w:pPr>
      <w:bookmarkStart w:id="87" w:name="OLE_LINK54"/>
      <w:r>
        <w:rPr>
          <w:rFonts w:ascii="黑体" w:hAnsi="黑体" w:eastAsia="黑体"/>
        </w:rPr>
        <w:br w:type="textWrapping"/>
      </w:r>
      <w:bookmarkStart w:id="88" w:name="OLE_LINK22"/>
      <w:r>
        <w:rPr>
          <w:rFonts w:ascii="黑体" w:hAnsi="黑体" w:eastAsia="黑体"/>
        </w:rPr>
        <w:t>无人车自动化系统</w:t>
      </w:r>
      <w:r>
        <w:rPr>
          <w:rFonts w:hint="eastAsia" w:ascii="黑体" w:hAnsi="黑体" w:eastAsia="黑体"/>
        </w:rPr>
        <w:t xml:space="preserve">  autonomous vehicle</w:t>
      </w:r>
      <w:r>
        <w:rPr>
          <w:rFonts w:ascii="黑体" w:hAnsi="黑体" w:eastAsia="黑体"/>
        </w:rPr>
        <w:t xml:space="preserve"> </w:t>
      </w:r>
      <w:r>
        <w:rPr>
          <w:rFonts w:hint="eastAsia" w:ascii="黑体" w:hAnsi="黑体" w:eastAsia="黑体"/>
        </w:rPr>
        <w:t>a</w:t>
      </w:r>
      <w:r>
        <w:rPr>
          <w:rFonts w:ascii="黑体" w:hAnsi="黑体" w:eastAsia="黑体"/>
        </w:rPr>
        <w:t xml:space="preserve">utomation </w:t>
      </w:r>
      <w:r>
        <w:rPr>
          <w:rFonts w:hint="eastAsia" w:ascii="黑体" w:hAnsi="黑体" w:eastAsia="黑体"/>
        </w:rPr>
        <w:t>s</w:t>
      </w:r>
      <w:r>
        <w:rPr>
          <w:rFonts w:ascii="黑体" w:hAnsi="黑体" w:eastAsia="黑体"/>
        </w:rPr>
        <w:t>ystem</w:t>
      </w:r>
    </w:p>
    <w:p w14:paraId="133CFE79">
      <w:pPr>
        <w:pStyle w:val="56"/>
        <w:ind w:firstLine="420"/>
        <w:rPr>
          <w:rFonts w:ascii="宋体" w:hAnsi="宋体"/>
        </w:rPr>
      </w:pPr>
      <w:r>
        <w:rPr>
          <w:rFonts w:ascii="宋体" w:hAnsi="宋体"/>
        </w:rPr>
        <w:t>在</w:t>
      </w:r>
      <w:r>
        <w:rPr>
          <w:rFonts w:hint="eastAsia" w:ascii="宋体" w:hAnsi="宋体"/>
        </w:rPr>
        <w:t>功能型无人车</w:t>
      </w:r>
      <w:r>
        <w:rPr>
          <w:rFonts w:ascii="宋体" w:hAnsi="宋体"/>
        </w:rPr>
        <w:t>设计运行范围内实现</w:t>
      </w:r>
      <w:r>
        <w:rPr>
          <w:rFonts w:hint="eastAsia" w:ascii="宋体" w:hAnsi="宋体"/>
        </w:rPr>
        <w:t>动态功能</w:t>
      </w:r>
      <w:r>
        <w:rPr>
          <w:rFonts w:ascii="宋体" w:hAnsi="宋体"/>
        </w:rPr>
        <w:t>任务执行的硬件与软件</w:t>
      </w:r>
      <w:r>
        <w:rPr>
          <w:rFonts w:hint="eastAsia" w:ascii="宋体" w:hAnsi="宋体"/>
        </w:rPr>
        <w:t>所共同组成的</w:t>
      </w:r>
      <w:r>
        <w:rPr>
          <w:rFonts w:ascii="宋体" w:hAnsi="宋体"/>
        </w:rPr>
        <w:t>系统。</w:t>
      </w:r>
    </w:p>
    <w:p w14:paraId="41ED1B89">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云控基础平台  cloud-based computing platform</w:t>
      </w:r>
    </w:p>
    <w:p w14:paraId="0A152320">
      <w:pPr>
        <w:pStyle w:val="56"/>
        <w:ind w:firstLine="420"/>
        <w:rPr>
          <w:rFonts w:ascii="宋体" w:hAnsi="宋体"/>
        </w:rPr>
      </w:pPr>
      <w:r>
        <w:rPr>
          <w:rFonts w:hint="eastAsia" w:ascii="宋体" w:hAnsi="宋体"/>
        </w:rPr>
        <w:t>为功能型无人车及其用户，管理及服务机构等提供功能型无人车运行、基础设施、交通环境、交通管理等动态基础数据，具有数据存储、数据运维，大数据分析、云计算，信息安全等基础服务机制，支持功能型无人车实际应用需求的基础支撑平台。</w:t>
      </w:r>
    </w:p>
    <w:p w14:paraId="404680F2">
      <w:pPr>
        <w:pStyle w:val="56"/>
        <w:ind w:firstLine="420"/>
        <w:rPr>
          <w:rFonts w:ascii="宋体" w:hAnsi="宋体"/>
        </w:rPr>
      </w:pPr>
      <w:r>
        <w:rPr>
          <w:rFonts w:hint="eastAsia" w:ascii="宋体" w:hAnsi="宋体"/>
        </w:rPr>
        <w:t>[来源：GB/T 44373—2024，5.14]</w:t>
      </w:r>
    </w:p>
    <w:bookmarkEnd w:id="87"/>
    <w:p w14:paraId="74C450A9">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车载计算平台  on-board computing platform</w:t>
      </w:r>
    </w:p>
    <w:p w14:paraId="0A0B9B3B">
      <w:pPr>
        <w:pStyle w:val="56"/>
        <w:ind w:firstLine="420"/>
        <w:rPr>
          <w:rFonts w:ascii="宋体" w:hAnsi="宋体"/>
        </w:rPr>
      </w:pPr>
      <w:r>
        <w:rPr>
          <w:rFonts w:hint="eastAsia" w:ascii="宋体" w:hAnsi="宋体"/>
        </w:rPr>
        <w:t>车载智能计算基础平台 on-board intelligent computing basic platform</w:t>
      </w:r>
    </w:p>
    <w:p w14:paraId="6692D781">
      <w:pPr>
        <w:pStyle w:val="56"/>
        <w:ind w:firstLine="420"/>
        <w:rPr>
          <w:rFonts w:ascii="宋体" w:hAnsi="宋体"/>
        </w:rPr>
      </w:pPr>
      <w:r>
        <w:rPr>
          <w:rFonts w:hint="eastAsia" w:ascii="宋体" w:hAnsi="宋体"/>
        </w:rPr>
        <w:t>安装在功能型无人车上，支撑功能型无人车自动化功能等实现的软硬件一体化平台。</w:t>
      </w:r>
    </w:p>
    <w:p w14:paraId="3DE677BD">
      <w:pPr>
        <w:pStyle w:val="179"/>
      </w:pPr>
      <w:r>
        <w:rPr>
          <w:rFonts w:hint="eastAsia"/>
        </w:rPr>
        <w:t>“车载计算平台”包括芯片、模组、接口等硬件以及系统软件、功能软件等软件。</w:t>
      </w:r>
    </w:p>
    <w:p w14:paraId="4EED7318">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车载通信单元  on-board unit；OBU</w:t>
      </w:r>
    </w:p>
    <w:p w14:paraId="48BB04A7">
      <w:pPr>
        <w:pStyle w:val="56"/>
        <w:ind w:firstLine="420"/>
        <w:rPr>
          <w:rFonts w:ascii="宋体" w:hAnsi="宋体"/>
        </w:rPr>
      </w:pPr>
      <w:r>
        <w:rPr>
          <w:rFonts w:hint="eastAsia" w:ascii="宋体" w:hAnsi="宋体"/>
        </w:rPr>
        <w:t>安装在功能型无人车上，用于实现无人车与外界通信的设备。</w:t>
      </w:r>
    </w:p>
    <w:p w14:paraId="3B61D3E9">
      <w:pPr>
        <w:pStyle w:val="179"/>
      </w:pPr>
      <w:r>
        <w:rPr>
          <w:rFonts w:hint="eastAsia"/>
        </w:rPr>
        <w:t>“外界”指车外的车辆、行人、云端、基础设施等。</w:t>
      </w:r>
    </w:p>
    <w:bookmarkEnd w:id="88"/>
    <w:p w14:paraId="41C77B46">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摄像头  camera</w:t>
      </w:r>
    </w:p>
    <w:p w14:paraId="1CD1133C">
      <w:pPr>
        <w:pStyle w:val="56"/>
        <w:ind w:firstLine="420"/>
        <w:rPr>
          <w:rFonts w:ascii="宋体" w:hAnsi="宋体"/>
        </w:rPr>
      </w:pPr>
      <w:r>
        <w:rPr>
          <w:rFonts w:hint="eastAsia" w:ascii="宋体" w:hAnsi="宋体"/>
        </w:rPr>
        <w:t>摄像机  camera</w:t>
      </w:r>
    </w:p>
    <w:p w14:paraId="1BDBA05E">
      <w:pPr>
        <w:pStyle w:val="56"/>
        <w:ind w:firstLine="420"/>
        <w:rPr>
          <w:rFonts w:ascii="宋体" w:hAnsi="宋体"/>
        </w:rPr>
      </w:pPr>
      <w:r>
        <w:rPr>
          <w:rFonts w:hint="eastAsia" w:ascii="宋体" w:hAnsi="宋体"/>
        </w:rPr>
        <w:t>通过感光器件获取图像信息的装置。</w:t>
      </w:r>
    </w:p>
    <w:p w14:paraId="53A3F922">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激光雷达  lidar</w:t>
      </w:r>
    </w:p>
    <w:p w14:paraId="54997607">
      <w:pPr>
        <w:pStyle w:val="56"/>
        <w:ind w:firstLine="420"/>
        <w:rPr>
          <w:rFonts w:ascii="宋体" w:hAnsi="宋体"/>
        </w:rPr>
      </w:pPr>
      <w:r>
        <w:rPr>
          <w:rFonts w:hint="eastAsia" w:ascii="宋体" w:hAnsi="宋体"/>
        </w:rPr>
        <w:t>利用激光束探测目标并获取目标信息的装置。</w:t>
      </w:r>
    </w:p>
    <w:p w14:paraId="1E51BADE">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毫米波雷达  milimeter-wave radar</w:t>
      </w:r>
    </w:p>
    <w:p w14:paraId="407AA5B3">
      <w:pPr>
        <w:pStyle w:val="56"/>
        <w:ind w:firstLine="420"/>
        <w:rPr>
          <w:rFonts w:ascii="宋体" w:hAnsi="宋体"/>
        </w:rPr>
      </w:pPr>
      <w:r>
        <w:rPr>
          <w:rFonts w:hint="eastAsia" w:ascii="宋体" w:hAnsi="宋体"/>
        </w:rPr>
        <w:t>利用毫米波波段的电磁波发现目标并获取目标信息的装置。</w:t>
      </w:r>
    </w:p>
    <w:p w14:paraId="16BF3752">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超声波传感器  utrasonic sensor</w:t>
      </w:r>
    </w:p>
    <w:p w14:paraId="5D8A5031">
      <w:pPr>
        <w:pStyle w:val="56"/>
        <w:ind w:firstLine="420"/>
        <w:rPr>
          <w:rFonts w:ascii="宋体" w:hAnsi="宋体"/>
        </w:rPr>
      </w:pPr>
      <w:r>
        <w:rPr>
          <w:rFonts w:hint="eastAsia" w:ascii="宋体" w:hAnsi="宋体"/>
        </w:rPr>
        <w:t>利用超声波探测目标并获取目标信息的装置。</w:t>
      </w:r>
    </w:p>
    <w:p w14:paraId="6FFE3A01">
      <w:pPr>
        <w:pStyle w:val="104"/>
        <w:spacing w:before="240" w:after="240"/>
      </w:pPr>
      <w:bookmarkStart w:id="89" w:name="_Toc217289746"/>
      <w:bookmarkStart w:id="90" w:name="_Toc213076296"/>
      <w:r>
        <w:rPr>
          <w:rFonts w:hint="eastAsia"/>
        </w:rPr>
        <w:t>质量和速度</w:t>
      </w:r>
      <w:bookmarkEnd w:id="89"/>
      <w:bookmarkEnd w:id="90"/>
    </w:p>
    <w:p w14:paraId="1D3AB070">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整备质量  Complete Vehicle Number</w:t>
      </w:r>
    </w:p>
    <w:p w14:paraId="6F8F8B2E">
      <w:pPr>
        <w:pStyle w:val="56"/>
        <w:ind w:firstLine="420"/>
      </w:pPr>
      <w:r>
        <w:rPr>
          <w:rFonts w:hint="eastAsia"/>
        </w:rPr>
        <w:t>在无载荷情况下，</w:t>
      </w:r>
      <w:bookmarkStart w:id="91" w:name="OLE_LINK38"/>
      <w:r>
        <w:rPr>
          <w:rFonts w:hint="eastAsia"/>
        </w:rPr>
        <w:t>功能型无人车</w:t>
      </w:r>
      <w:bookmarkEnd w:id="91"/>
      <w:r>
        <w:rPr>
          <w:rFonts w:hint="eastAsia"/>
        </w:rPr>
        <w:t>生产企业按最终产品装备完整后的重量，包含必要的专用作业装置、随车工具、油液等。</w:t>
      </w:r>
    </w:p>
    <w:p w14:paraId="09AE46C4">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最大允许总质量  Maximum Allowable Total Mas</w:t>
      </w:r>
    </w:p>
    <w:p w14:paraId="62B227BC">
      <w:pPr>
        <w:pStyle w:val="56"/>
        <w:ind w:firstLine="420"/>
      </w:pPr>
      <w:bookmarkStart w:id="92" w:name="OLE_LINK39"/>
      <w:r>
        <w:rPr>
          <w:rFonts w:hint="eastAsia"/>
        </w:rPr>
        <w:t>功能型无人车</w:t>
      </w:r>
      <w:bookmarkEnd w:id="92"/>
      <w:r>
        <w:rPr>
          <w:rFonts w:hint="eastAsia"/>
        </w:rPr>
        <w:t>允许按规定装满货或其他必要工具时的最大总重量。</w:t>
      </w:r>
    </w:p>
    <w:p w14:paraId="599C2950">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最大装载质量  maximum laden mass</w:t>
      </w:r>
    </w:p>
    <w:p w14:paraId="504EED12">
      <w:pPr>
        <w:pStyle w:val="56"/>
        <w:ind w:firstLine="420"/>
      </w:pPr>
      <w:r>
        <w:rPr>
          <w:rFonts w:hint="eastAsia"/>
        </w:rPr>
        <w:t>无人配送车厢体内载满邮件快件的总质量。</w:t>
      </w:r>
    </w:p>
    <w:p w14:paraId="2AC48D0C">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最高设计时速 Maximum Design Driving Speed</w:t>
      </w:r>
    </w:p>
    <w:p w14:paraId="6F49041C">
      <w:pPr>
        <w:pStyle w:val="56"/>
        <w:ind w:firstLine="420"/>
        <w:rPr>
          <w:rFonts w:ascii="宋体" w:hAnsi="宋体"/>
        </w:rPr>
      </w:pPr>
      <w:r>
        <w:rPr>
          <w:rFonts w:hint="eastAsia" w:ascii="宋体" w:hAnsi="宋体"/>
        </w:rPr>
        <w:t>功能型无人车在其设计运行条件下可运行的最高速度。</w:t>
      </w:r>
    </w:p>
    <w:p w14:paraId="20800D23">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最高行驶速度  Maximum Subject Vehicle Speed</w:t>
      </w:r>
    </w:p>
    <w:p w14:paraId="1448FB28">
      <w:pPr>
        <w:pStyle w:val="56"/>
        <w:ind w:firstLine="420"/>
      </w:pPr>
      <w:r>
        <w:rPr>
          <w:rFonts w:hint="eastAsia"/>
        </w:rPr>
        <w:t>功能型无人车在相应场景或工作任务中行驶时所不能超出相关规定的最高时速。</w:t>
      </w:r>
    </w:p>
    <w:p w14:paraId="10DCD1B7">
      <w:pPr>
        <w:pStyle w:val="104"/>
        <w:spacing w:before="240" w:after="240"/>
      </w:pPr>
      <w:bookmarkStart w:id="93" w:name="_Toc217289747"/>
      <w:bookmarkStart w:id="94" w:name="_Toc213076297"/>
      <w:r>
        <w:rPr>
          <w:rFonts w:hint="eastAsia"/>
        </w:rPr>
        <w:t>开发测试</w:t>
      </w:r>
      <w:bookmarkEnd w:id="93"/>
      <w:bookmarkEnd w:id="94"/>
    </w:p>
    <w:p w14:paraId="7FD1FC69">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功能任务  functionality task</w:t>
      </w:r>
    </w:p>
    <w:p w14:paraId="2FD5E9ED">
      <w:pPr>
        <w:pStyle w:val="56"/>
        <w:ind w:firstLine="420"/>
      </w:pPr>
      <w:r>
        <w:rPr>
          <w:rFonts w:hint="eastAsia"/>
        </w:rPr>
        <w:t>功能型无人车执行配送、运输、安防、零售、环卫、接驳等任务的行为。</w:t>
      </w:r>
    </w:p>
    <w:p w14:paraId="094DD671">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动态任务  dynamic task</w:t>
      </w:r>
    </w:p>
    <w:p w14:paraId="7220159F">
      <w:pPr>
        <w:pStyle w:val="56"/>
        <w:ind w:firstLine="420"/>
      </w:pPr>
      <w:r>
        <w:rPr>
          <w:rFonts w:hint="eastAsia"/>
        </w:rPr>
        <w:t>完成功能型无人车实现无人驾驶及功能任务所需的感知、决策和执行等行为，包括但不限于：</w:t>
      </w:r>
    </w:p>
    <w:p w14:paraId="601EEA19">
      <w:pPr>
        <w:pStyle w:val="132"/>
      </w:pPr>
      <w:r>
        <w:rPr>
          <w:rFonts w:hint="eastAsia"/>
        </w:rPr>
        <w:t>控制车辆横/纵向运动；</w:t>
      </w:r>
    </w:p>
    <w:p w14:paraId="13D6D779">
      <w:pPr>
        <w:pStyle w:val="132"/>
      </w:pPr>
      <w:r>
        <w:rPr>
          <w:rFonts w:hint="eastAsia"/>
        </w:rPr>
        <w:t>目标和事件探测与响应；</w:t>
      </w:r>
    </w:p>
    <w:p w14:paraId="53ADE89B">
      <w:pPr>
        <w:pStyle w:val="132"/>
      </w:pPr>
      <w:r>
        <w:rPr>
          <w:rFonts w:hint="eastAsia"/>
        </w:rPr>
        <w:t>行驶决策及规划；</w:t>
      </w:r>
    </w:p>
    <w:p w14:paraId="096AD9CD">
      <w:pPr>
        <w:pStyle w:val="132"/>
        <w:rPr>
          <w:rFonts w:ascii="Times New Roman"/>
        </w:rPr>
      </w:pPr>
      <w:r>
        <w:rPr>
          <w:rFonts w:hint="eastAsia"/>
        </w:rPr>
        <w:t>控制照明及信号装置。</w:t>
      </w:r>
    </w:p>
    <w:p w14:paraId="3408317A">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试验车辆  vehicle under test；VUT</w:t>
      </w:r>
    </w:p>
    <w:p w14:paraId="66E9D678">
      <w:pPr>
        <w:pStyle w:val="56"/>
        <w:ind w:firstLine="420"/>
      </w:pPr>
      <w:r>
        <w:rPr>
          <w:rFonts w:hint="eastAsia"/>
        </w:rPr>
        <w:t>进行试验的功能型无人车。</w:t>
      </w:r>
    </w:p>
    <w:p w14:paraId="664BD8EE">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目标车辆  vehicle target；VT</w:t>
      </w:r>
    </w:p>
    <w:p w14:paraId="0790A703">
      <w:pPr>
        <w:pStyle w:val="56"/>
        <w:ind w:firstLine="420"/>
        <w:rPr>
          <w:rFonts w:ascii="宋体" w:hAnsi="宋体"/>
        </w:rPr>
      </w:pPr>
      <w:r>
        <w:rPr>
          <w:rFonts w:hint="eastAsia" w:ascii="宋体" w:hAnsi="宋体"/>
        </w:rPr>
        <w:t>用于构建试验场景的车辆。</w:t>
      </w:r>
    </w:p>
    <w:p w14:paraId="315DBFFB">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试验场景  testing scenario</w:t>
      </w:r>
    </w:p>
    <w:p w14:paraId="1D5FFE8E">
      <w:pPr>
        <w:pStyle w:val="56"/>
        <w:ind w:firstLine="420"/>
      </w:pPr>
      <w:r>
        <w:rPr>
          <w:rFonts w:hint="eastAsia"/>
        </w:rPr>
        <w:t>功能型无人车在试验过程中所处道路、交通标志和标线及目标物等要素及其状态的集合。</w:t>
      </w:r>
    </w:p>
    <w:p w14:paraId="5ED8D125">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道路测试  Road Testing</w:t>
      </w:r>
    </w:p>
    <w:p w14:paraId="3EDC63F7">
      <w:pPr>
        <w:pStyle w:val="56"/>
        <w:ind w:firstLine="420"/>
      </w:pPr>
      <w:r>
        <w:rPr>
          <w:rFonts w:hint="eastAsia"/>
        </w:rPr>
        <w:t>在指定路段进行的功能型无人车自动驾驶功能测试活动。</w:t>
      </w:r>
    </w:p>
    <w:p w14:paraId="11D1BA43">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仿真测试  simulation test</w:t>
      </w:r>
    </w:p>
    <w:p w14:paraId="35E367CB">
      <w:pPr>
        <w:pStyle w:val="56"/>
        <w:ind w:firstLine="420"/>
      </w:pPr>
      <w:r>
        <w:rPr>
          <w:rFonts w:hint="eastAsia"/>
        </w:rPr>
        <w:t>通过计算机仿真技术，建立现实静态环境与动态场景的数学模型，实现功能型无人车在虚拟场景中进行的测试。</w:t>
      </w:r>
    </w:p>
    <w:p w14:paraId="712EE1FB">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封闭场地测试  closed site test</w:t>
      </w:r>
    </w:p>
    <w:p w14:paraId="2EA053A5">
      <w:pPr>
        <w:pStyle w:val="56"/>
        <w:ind w:firstLine="420"/>
      </w:pPr>
      <w:r>
        <w:rPr>
          <w:rFonts w:hint="eastAsia"/>
        </w:rPr>
        <w:t>在全封闭的测试场地内，通过模拟各种设定的场景，对功能型无人车进行的测试。</w:t>
      </w:r>
    </w:p>
    <w:p w14:paraId="714E228A">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公开道路测试  public road test</w:t>
      </w:r>
    </w:p>
    <w:p w14:paraId="6E954150">
      <w:pPr>
        <w:pStyle w:val="56"/>
        <w:ind w:firstLine="420"/>
      </w:pPr>
      <w:r>
        <w:rPr>
          <w:rFonts w:hint="eastAsia"/>
        </w:rPr>
        <w:t>在真实交通环境中进行的测试。</w:t>
      </w:r>
    </w:p>
    <w:p w14:paraId="2A3C8797">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功能任务测试  functionality task test</w:t>
      </w:r>
    </w:p>
    <w:p w14:paraId="6F2A8864">
      <w:pPr>
        <w:pStyle w:val="56"/>
        <w:ind w:firstLine="420"/>
      </w:pPr>
      <w:r>
        <w:rPr>
          <w:rFonts w:hint="eastAsia"/>
        </w:rPr>
        <w:t>对功能型无人车执行功能任务能力进行评价的测试。</w:t>
      </w:r>
    </w:p>
    <w:p w14:paraId="4DBF4AAE">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云控基础平台测试  cloud-based platform test</w:t>
      </w:r>
    </w:p>
    <w:p w14:paraId="77CDF17A">
      <w:pPr>
        <w:pStyle w:val="56"/>
        <w:ind w:firstLine="420"/>
      </w:pPr>
      <w:r>
        <w:rPr>
          <w:rFonts w:hint="eastAsia"/>
        </w:rPr>
        <w:t>对云控基础平台的接入、监控、接管、调度功能型无人车等方面能力进行评定的测试。</w:t>
      </w:r>
    </w:p>
    <w:p w14:paraId="63090055">
      <w:pPr>
        <w:pStyle w:val="104"/>
        <w:spacing w:before="240" w:after="240"/>
      </w:pPr>
      <w:bookmarkStart w:id="95" w:name="_Toc217289748"/>
      <w:bookmarkStart w:id="96" w:name="_Toc213076298"/>
      <w:r>
        <w:rPr>
          <w:rFonts w:hint="eastAsia"/>
        </w:rPr>
        <w:t>示范应用</w:t>
      </w:r>
      <w:bookmarkEnd w:id="95"/>
      <w:bookmarkEnd w:id="96"/>
    </w:p>
    <w:p w14:paraId="46CEF4CF">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示范应用  demonstration application</w:t>
      </w:r>
    </w:p>
    <w:p w14:paraId="6B5EB716">
      <w:pPr>
        <w:pStyle w:val="56"/>
        <w:ind w:firstLine="420"/>
      </w:pPr>
      <w:r>
        <w:rPr>
          <w:rFonts w:hint="eastAsia"/>
        </w:rPr>
        <w:t>在各类道路及场地指定范围内，功能型无人车开展先行先试的应用活动。</w:t>
      </w:r>
    </w:p>
    <w:p w14:paraId="06D5377C">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示范应用主体  demonstration application subject</w:t>
      </w:r>
    </w:p>
    <w:p w14:paraId="070A54AE">
      <w:pPr>
        <w:pStyle w:val="56"/>
        <w:ind w:firstLine="420"/>
      </w:pPr>
      <w:r>
        <w:rPr>
          <w:rFonts w:hint="eastAsia"/>
        </w:rPr>
        <w:t>提出功能型无人车示范应用申请、组织示范应用并承担相应责任的一个单位或多个单位联合体。</w:t>
      </w:r>
    </w:p>
    <w:p w14:paraId="7874C9FE">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用户  user</w:t>
      </w:r>
    </w:p>
    <w:p w14:paraId="47376D37">
      <w:pPr>
        <w:pStyle w:val="56"/>
        <w:ind w:firstLine="420"/>
      </w:pPr>
      <w:r>
        <w:rPr>
          <w:rFonts w:hint="eastAsia"/>
        </w:rPr>
        <w:t>与为无人驾驶相关的人类角色的统称。</w:t>
      </w:r>
    </w:p>
    <w:p w14:paraId="14ABA688">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调度员  dispatcher</w:t>
      </w:r>
    </w:p>
    <w:p w14:paraId="1310389B">
      <w:pPr>
        <w:pStyle w:val="56"/>
        <w:ind w:firstLine="420"/>
      </w:pPr>
      <w:r>
        <w:rPr>
          <w:rFonts w:hint="eastAsia"/>
        </w:rPr>
        <w:t>通过激活无人车自动化系统以实现产品调度服务但不执行动态驾驶任务的用户。</w:t>
      </w:r>
    </w:p>
    <w:p w14:paraId="3454395E">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安全员  Safety officer</w:t>
      </w:r>
    </w:p>
    <w:p w14:paraId="70584505">
      <w:pPr>
        <w:pStyle w:val="56"/>
        <w:ind w:firstLine="420"/>
      </w:pPr>
      <w:r>
        <w:rPr>
          <w:rFonts w:hint="eastAsia"/>
        </w:rPr>
        <w:t>经功能型无人车示范应用企业授权，负责监控功能型无人车运行状态和周围环境，以及在无人车自动化系统无法正常运行、车辆故障、遭遇交通事故、交通临时管控等紧急状况时，通过直接接管驾驶任务、启动安全应急装置或者后台发送指令等应急处置措施，保障无人车安全运行的人员。</w:t>
      </w:r>
    </w:p>
    <w:bookmarkEnd w:id="25"/>
    <w:p w14:paraId="26EE529D">
      <w:pPr>
        <w:pStyle w:val="56"/>
        <w:ind w:firstLine="0" w:firstLineChars="0"/>
        <w:jc w:val="center"/>
      </w:pPr>
      <w:bookmarkStart w:id="97" w:name="BookMark8"/>
      <w:r>
        <w:drawing>
          <wp:inline distT="0" distB="0" distL="0" distR="0">
            <wp:extent cx="1485900" cy="317500"/>
            <wp:effectExtent l="0" t="0" r="0" b="6350"/>
            <wp:docPr id="1922352827" name="图片 3"/>
            <wp:cNvGraphicFramePr/>
            <a:graphic xmlns:a="http://schemas.openxmlformats.org/drawingml/2006/main">
              <a:graphicData uri="http://schemas.openxmlformats.org/drawingml/2006/picture">
                <pic:pic xmlns:pic="http://schemas.openxmlformats.org/drawingml/2006/picture">
                  <pic:nvPicPr>
                    <pic:cNvPr id="1922352827" name="图片 3"/>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7"/>
    </w:p>
    <w:sectPr>
      <w:headerReference r:id="rId19" w:type="default"/>
      <w:footerReference r:id="rId21" w:type="default"/>
      <w:headerReference r:id="rId20" w:type="even"/>
      <w:footerReference r:id="rId22" w:type="even"/>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08A90">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401B2">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26C24">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01AA">
    <w:pPr>
      <w:pStyle w:val="52"/>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13A54">
    <w:pPr>
      <w:pStyle w:val="51"/>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C02BE">
    <w:pPr>
      <w:pStyle w:val="52"/>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79C9E">
    <w:pPr>
      <w:pStyle w:val="51"/>
    </w:pPr>
    <w:r>
      <w:fldChar w:fldCharType="begin"/>
    </w:r>
    <w:r>
      <w:instrText xml:space="preserve"> PAGE   \* MERGEFORMAT \* MERGEFORMAT </w:instrText>
    </w:r>
    <w:r>
      <w:fldChar w:fldCharType="separate"/>
    </w:r>
    <w:r>
      <w:t>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1E02C">
    <w:pPr>
      <w:pStyle w:val="52"/>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A44CC">
    <w:pPr>
      <w:pStyle w:val="51"/>
    </w:pPr>
    <w:r>
      <w:fldChar w:fldCharType="begin"/>
    </w:r>
    <w:r>
      <w:instrText xml:space="preserve"> PAGE   \* MERGEFORMAT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42F10">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0E700">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E1E0">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56E38">
    <w:pPr>
      <w:pStyle w:val="61"/>
    </w:pPr>
    <w:r>
      <w:fldChar w:fldCharType="begin"/>
    </w:r>
    <w:r>
      <w:instrText xml:space="preserve"> STYLEREF  标准文件_文件编号  \* MERGEFORMAT </w:instrText>
    </w:r>
    <w:r>
      <w:fldChar w:fldCharType="separate"/>
    </w:r>
    <w:r>
      <w:t>T/SAIF XXXX—20XX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6CD6D">
    <w:pPr>
      <w:pStyle w:val="62"/>
    </w:pPr>
    <w:r>
      <w:fldChar w:fldCharType="begin"/>
    </w:r>
    <w:r>
      <w:instrText xml:space="preserve"> STYLEREF  标准文件_文件编号 \* MERGEFORMAT </w:instrText>
    </w:r>
    <w:r>
      <w:fldChar w:fldCharType="separate"/>
    </w:r>
    <w:r>
      <w:t>T/SAIF XXXX—20XX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5A5BA">
    <w:pPr>
      <w:pStyle w:val="61"/>
    </w:pPr>
    <w:r>
      <w:fldChar w:fldCharType="begin"/>
    </w:r>
    <w:r>
      <w:instrText xml:space="preserve"> STYLEREF  标准文件_文件编号  \* MERGEFORMAT </w:instrText>
    </w:r>
    <w:r>
      <w:fldChar w:fldCharType="separate"/>
    </w:r>
    <w:r>
      <w:t>T/SAIF XXXX—20XX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DB47E">
    <w:pPr>
      <w:pStyle w:val="62"/>
    </w:pPr>
    <w:r>
      <w:fldChar w:fldCharType="begin"/>
    </w:r>
    <w:r>
      <w:instrText xml:space="preserve"> STYLEREF  标准文件_文件编号 \* MERGEFORMAT </w:instrText>
    </w:r>
    <w:r>
      <w:fldChar w:fldCharType="separate"/>
    </w:r>
    <w:r>
      <w:t>T/SAIF XXXX—20XX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7F3B0">
    <w:pPr>
      <w:pStyle w:val="61"/>
    </w:pPr>
    <w:r>
      <w:fldChar w:fldCharType="begin"/>
    </w:r>
    <w:r>
      <w:instrText xml:space="preserve"> STYLEREF  标准文件_文件编号  \* MERGEFORMAT </w:instrText>
    </w:r>
    <w:r>
      <w:fldChar w:fldCharType="separate"/>
    </w:r>
    <w:r>
      <w:t>T/SAIF XXXX—20XX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F3F4">
    <w:pPr>
      <w:pStyle w:val="62"/>
    </w:pPr>
    <w:r>
      <w:fldChar w:fldCharType="begin"/>
    </w:r>
    <w:r>
      <w:instrText xml:space="preserve"> STYLEREF  标准文件_文件编号 \* MERGEFORMAT </w:instrText>
    </w:r>
    <w:r>
      <w:fldChar w:fldCharType="separate"/>
    </w:r>
    <w:r>
      <w:t>T/SAIF XXXX—20XX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2694"/>
        </w:tabs>
        <w:ind w:left="2694"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attachedTemplate r:id="rId1"/>
  <w:documentProtection w:edit="forms" w:enforcement="1" w:cryptProviderType="rsaAES" w:cryptAlgorithmClass="hash" w:cryptAlgorithmType="typeAny" w:cryptAlgorithmSid="14" w:cryptSpinCount="100000" w:hash="4JYXrAyvGMAPqwX8JHIcSUw6MBN0rZxi5kduXZdVY7ueNCkpGvTm/ts0wfu2KJ4K1ddLMQlihBwa7CvLQpeI7Q==" w:salt="LhfY2Z3x2+hf5HpD7XLvCw=="/>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D78"/>
    <w:rsid w:val="0000040A"/>
    <w:rsid w:val="00000A94"/>
    <w:rsid w:val="00001972"/>
    <w:rsid w:val="00001D9A"/>
    <w:rsid w:val="00002D4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0DB"/>
    <w:rsid w:val="00060C2E"/>
    <w:rsid w:val="00061033"/>
    <w:rsid w:val="000619E9"/>
    <w:rsid w:val="000622D4"/>
    <w:rsid w:val="0006357D"/>
    <w:rsid w:val="00067F1E"/>
    <w:rsid w:val="00071CC0"/>
    <w:rsid w:val="00071CFC"/>
    <w:rsid w:val="00073C8C"/>
    <w:rsid w:val="00073FF4"/>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4E97"/>
    <w:rsid w:val="000A7311"/>
    <w:rsid w:val="000B060F"/>
    <w:rsid w:val="000B1592"/>
    <w:rsid w:val="000B1FF2"/>
    <w:rsid w:val="000B2673"/>
    <w:rsid w:val="000B3CDA"/>
    <w:rsid w:val="000B6A0B"/>
    <w:rsid w:val="000C0F6C"/>
    <w:rsid w:val="000C11DB"/>
    <w:rsid w:val="000C1492"/>
    <w:rsid w:val="000C2FBD"/>
    <w:rsid w:val="000C4B41"/>
    <w:rsid w:val="000C57D6"/>
    <w:rsid w:val="000C6362"/>
    <w:rsid w:val="000C7666"/>
    <w:rsid w:val="000D0A9C"/>
    <w:rsid w:val="000D1795"/>
    <w:rsid w:val="000D2910"/>
    <w:rsid w:val="000D329A"/>
    <w:rsid w:val="000D4B9C"/>
    <w:rsid w:val="000D4EB6"/>
    <w:rsid w:val="000D753B"/>
    <w:rsid w:val="000E4C9E"/>
    <w:rsid w:val="000E6FD7"/>
    <w:rsid w:val="000E7144"/>
    <w:rsid w:val="000F06E1"/>
    <w:rsid w:val="000F0E3C"/>
    <w:rsid w:val="000F19D5"/>
    <w:rsid w:val="000F4050"/>
    <w:rsid w:val="000F4AEA"/>
    <w:rsid w:val="000F4FAD"/>
    <w:rsid w:val="000F67E9"/>
    <w:rsid w:val="00104926"/>
    <w:rsid w:val="00113B1E"/>
    <w:rsid w:val="0011711C"/>
    <w:rsid w:val="00124E4F"/>
    <w:rsid w:val="001260B7"/>
    <w:rsid w:val="001265CB"/>
    <w:rsid w:val="001321C6"/>
    <w:rsid w:val="001325C4"/>
    <w:rsid w:val="00133010"/>
    <w:rsid w:val="001338EE"/>
    <w:rsid w:val="00133AAE"/>
    <w:rsid w:val="00133C25"/>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2264"/>
    <w:rsid w:val="0019348F"/>
    <w:rsid w:val="00193A07"/>
    <w:rsid w:val="00194C95"/>
    <w:rsid w:val="00195C34"/>
    <w:rsid w:val="00196EF5"/>
    <w:rsid w:val="001A1A53"/>
    <w:rsid w:val="001A234A"/>
    <w:rsid w:val="001A4AB4"/>
    <w:rsid w:val="001A4CF3"/>
    <w:rsid w:val="001A6696"/>
    <w:rsid w:val="001B06E8"/>
    <w:rsid w:val="001B3902"/>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6A8E"/>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D0"/>
    <w:rsid w:val="002142EA"/>
    <w:rsid w:val="00215ADD"/>
    <w:rsid w:val="00216483"/>
    <w:rsid w:val="002204BB"/>
    <w:rsid w:val="00221B79"/>
    <w:rsid w:val="00221C6B"/>
    <w:rsid w:val="00223427"/>
    <w:rsid w:val="0022384F"/>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3C2F"/>
    <w:rsid w:val="00254C74"/>
    <w:rsid w:val="0026148A"/>
    <w:rsid w:val="00262696"/>
    <w:rsid w:val="00263D25"/>
    <w:rsid w:val="002643C3"/>
    <w:rsid w:val="00264A0C"/>
    <w:rsid w:val="00266EEB"/>
    <w:rsid w:val="00267EF4"/>
    <w:rsid w:val="00270CB8"/>
    <w:rsid w:val="00272B08"/>
    <w:rsid w:val="00276179"/>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3CFF"/>
    <w:rsid w:val="003B5BF0"/>
    <w:rsid w:val="003B60BF"/>
    <w:rsid w:val="003B6BE3"/>
    <w:rsid w:val="003C010C"/>
    <w:rsid w:val="003C0A6C"/>
    <w:rsid w:val="003C14F8"/>
    <w:rsid w:val="003C5A43"/>
    <w:rsid w:val="003D0519"/>
    <w:rsid w:val="003D0FF6"/>
    <w:rsid w:val="003D262C"/>
    <w:rsid w:val="003D6D61"/>
    <w:rsid w:val="003D7B55"/>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69C9"/>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049"/>
    <w:rsid w:val="00470775"/>
    <w:rsid w:val="004746B1"/>
    <w:rsid w:val="0047583F"/>
    <w:rsid w:val="00475DE8"/>
    <w:rsid w:val="00481C44"/>
    <w:rsid w:val="004831B3"/>
    <w:rsid w:val="0048326F"/>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1EBE"/>
    <w:rsid w:val="004D2253"/>
    <w:rsid w:val="004D4406"/>
    <w:rsid w:val="004D4A5D"/>
    <w:rsid w:val="004D7C42"/>
    <w:rsid w:val="004E0465"/>
    <w:rsid w:val="004E127B"/>
    <w:rsid w:val="004E19E7"/>
    <w:rsid w:val="004E1C0A"/>
    <w:rsid w:val="004E30C5"/>
    <w:rsid w:val="004E4AA5"/>
    <w:rsid w:val="004E4AEE"/>
    <w:rsid w:val="004E59E3"/>
    <w:rsid w:val="004E67C0"/>
    <w:rsid w:val="004F05E8"/>
    <w:rsid w:val="004F391A"/>
    <w:rsid w:val="004F3CFB"/>
    <w:rsid w:val="004F6456"/>
    <w:rsid w:val="004F696E"/>
    <w:rsid w:val="004F6C71"/>
    <w:rsid w:val="00501139"/>
    <w:rsid w:val="0050363E"/>
    <w:rsid w:val="005039BC"/>
    <w:rsid w:val="005043BB"/>
    <w:rsid w:val="00504A3D"/>
    <w:rsid w:val="005051CE"/>
    <w:rsid w:val="00505767"/>
    <w:rsid w:val="005073F0"/>
    <w:rsid w:val="00510A7B"/>
    <w:rsid w:val="00512F6E"/>
    <w:rsid w:val="00513038"/>
    <w:rsid w:val="00514174"/>
    <w:rsid w:val="00516088"/>
    <w:rsid w:val="00516B0B"/>
    <w:rsid w:val="005220EC"/>
    <w:rsid w:val="00522956"/>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606D"/>
    <w:rsid w:val="00546CD9"/>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546"/>
    <w:rsid w:val="00586630"/>
    <w:rsid w:val="00587ADD"/>
    <w:rsid w:val="00592D0C"/>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2C06"/>
    <w:rsid w:val="005D4171"/>
    <w:rsid w:val="005D6A95"/>
    <w:rsid w:val="005D6B2C"/>
    <w:rsid w:val="005D6D9C"/>
    <w:rsid w:val="005E2335"/>
    <w:rsid w:val="005E2550"/>
    <w:rsid w:val="005E34CA"/>
    <w:rsid w:val="005E3C18"/>
    <w:rsid w:val="005E4250"/>
    <w:rsid w:val="005E6812"/>
    <w:rsid w:val="005E7881"/>
    <w:rsid w:val="005E78E0"/>
    <w:rsid w:val="005F0D9C"/>
    <w:rsid w:val="005F284E"/>
    <w:rsid w:val="006012B9"/>
    <w:rsid w:val="006015CE"/>
    <w:rsid w:val="00603A53"/>
    <w:rsid w:val="00604784"/>
    <w:rsid w:val="00606419"/>
    <w:rsid w:val="006074E2"/>
    <w:rsid w:val="00607D29"/>
    <w:rsid w:val="00612952"/>
    <w:rsid w:val="00614CC1"/>
    <w:rsid w:val="00615A9D"/>
    <w:rsid w:val="00617387"/>
    <w:rsid w:val="006205D6"/>
    <w:rsid w:val="006213B1"/>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1EC"/>
    <w:rsid w:val="00653F98"/>
    <w:rsid w:val="00653FED"/>
    <w:rsid w:val="00654EC0"/>
    <w:rsid w:val="0065525B"/>
    <w:rsid w:val="00655D4F"/>
    <w:rsid w:val="00656D29"/>
    <w:rsid w:val="006579F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2730"/>
    <w:rsid w:val="00693962"/>
    <w:rsid w:val="006A07AA"/>
    <w:rsid w:val="006A25E5"/>
    <w:rsid w:val="006A2B46"/>
    <w:rsid w:val="006A336D"/>
    <w:rsid w:val="006A37B9"/>
    <w:rsid w:val="006A3D27"/>
    <w:rsid w:val="006B1D78"/>
    <w:rsid w:val="006B2672"/>
    <w:rsid w:val="006B54BF"/>
    <w:rsid w:val="006B5F44"/>
    <w:rsid w:val="006B5F90"/>
    <w:rsid w:val="006B62E4"/>
    <w:rsid w:val="006B788B"/>
    <w:rsid w:val="006C1BBA"/>
    <w:rsid w:val="006C2079"/>
    <w:rsid w:val="006C5A62"/>
    <w:rsid w:val="006C5D68"/>
    <w:rsid w:val="006C6976"/>
    <w:rsid w:val="006C6DD0"/>
    <w:rsid w:val="006D04EA"/>
    <w:rsid w:val="006D16C4"/>
    <w:rsid w:val="006D3E96"/>
    <w:rsid w:val="006D4515"/>
    <w:rsid w:val="006D4BA7"/>
    <w:rsid w:val="006D4BB1"/>
    <w:rsid w:val="006D6593"/>
    <w:rsid w:val="006E28E0"/>
    <w:rsid w:val="006F03A8"/>
    <w:rsid w:val="006F2ACA"/>
    <w:rsid w:val="006F2ADC"/>
    <w:rsid w:val="006F2BFE"/>
    <w:rsid w:val="006F31E9"/>
    <w:rsid w:val="006F6128"/>
    <w:rsid w:val="006F6284"/>
    <w:rsid w:val="007002C5"/>
    <w:rsid w:val="00704387"/>
    <w:rsid w:val="00707669"/>
    <w:rsid w:val="00711CBA"/>
    <w:rsid w:val="00711FB5"/>
    <w:rsid w:val="00712A01"/>
    <w:rsid w:val="00714F58"/>
    <w:rsid w:val="00717B2D"/>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154"/>
    <w:rsid w:val="00774DA4"/>
    <w:rsid w:val="00776599"/>
    <w:rsid w:val="0078114B"/>
    <w:rsid w:val="00781DD2"/>
    <w:rsid w:val="00783ECF"/>
    <w:rsid w:val="0078413A"/>
    <w:rsid w:val="00791FA7"/>
    <w:rsid w:val="007959E8"/>
    <w:rsid w:val="00795E9C"/>
    <w:rsid w:val="007A0521"/>
    <w:rsid w:val="007A2E12"/>
    <w:rsid w:val="007A3475"/>
    <w:rsid w:val="007A41C8"/>
    <w:rsid w:val="007A54CE"/>
    <w:rsid w:val="007A5D3A"/>
    <w:rsid w:val="007A6FD9"/>
    <w:rsid w:val="007A7FFA"/>
    <w:rsid w:val="007B04EB"/>
    <w:rsid w:val="007B0D4F"/>
    <w:rsid w:val="007B2C6D"/>
    <w:rsid w:val="007B5A3D"/>
    <w:rsid w:val="007B5B95"/>
    <w:rsid w:val="007B6032"/>
    <w:rsid w:val="007B68EA"/>
    <w:rsid w:val="007B7453"/>
    <w:rsid w:val="007B7FC7"/>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19D"/>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43D2"/>
    <w:rsid w:val="008454F8"/>
    <w:rsid w:val="0085173A"/>
    <w:rsid w:val="008603CE"/>
    <w:rsid w:val="008620FC"/>
    <w:rsid w:val="008627A5"/>
    <w:rsid w:val="00863E05"/>
    <w:rsid w:val="00865ACA"/>
    <w:rsid w:val="00865D28"/>
    <w:rsid w:val="00865F85"/>
    <w:rsid w:val="00867C10"/>
    <w:rsid w:val="00870439"/>
    <w:rsid w:val="00870441"/>
    <w:rsid w:val="00870DA1"/>
    <w:rsid w:val="008740EA"/>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7DF"/>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362A"/>
    <w:rsid w:val="008C475E"/>
    <w:rsid w:val="008C619A"/>
    <w:rsid w:val="008C70CE"/>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0A65"/>
    <w:rsid w:val="00902722"/>
    <w:rsid w:val="009027BC"/>
    <w:rsid w:val="009062E6"/>
    <w:rsid w:val="00911BE5"/>
    <w:rsid w:val="00913CA9"/>
    <w:rsid w:val="009145AE"/>
    <w:rsid w:val="009146CE"/>
    <w:rsid w:val="00914CA7"/>
    <w:rsid w:val="00915C3E"/>
    <w:rsid w:val="009161A8"/>
    <w:rsid w:val="00922BE8"/>
    <w:rsid w:val="009245AE"/>
    <w:rsid w:val="009245F5"/>
    <w:rsid w:val="009249EC"/>
    <w:rsid w:val="009273B3"/>
    <w:rsid w:val="009305B5"/>
    <w:rsid w:val="009364B4"/>
    <w:rsid w:val="009378DD"/>
    <w:rsid w:val="009429D5"/>
    <w:rsid w:val="00942BF1"/>
    <w:rsid w:val="00945180"/>
    <w:rsid w:val="00945428"/>
    <w:rsid w:val="0094607B"/>
    <w:rsid w:val="00953604"/>
    <w:rsid w:val="0095496B"/>
    <w:rsid w:val="0095609D"/>
    <w:rsid w:val="00960F1E"/>
    <w:rsid w:val="009610DC"/>
    <w:rsid w:val="00961490"/>
    <w:rsid w:val="009624F7"/>
    <w:rsid w:val="0096381A"/>
    <w:rsid w:val="00965E04"/>
    <w:rsid w:val="009674AD"/>
    <w:rsid w:val="00970CDC"/>
    <w:rsid w:val="00975727"/>
    <w:rsid w:val="00977010"/>
    <w:rsid w:val="00977D02"/>
    <w:rsid w:val="00977FF9"/>
    <w:rsid w:val="009809BB"/>
    <w:rsid w:val="00982CAF"/>
    <w:rsid w:val="0098364B"/>
    <w:rsid w:val="009908A3"/>
    <w:rsid w:val="009911AF"/>
    <w:rsid w:val="00991875"/>
    <w:rsid w:val="00991F92"/>
    <w:rsid w:val="009928AC"/>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9F2870"/>
    <w:rsid w:val="00A0096C"/>
    <w:rsid w:val="00A01757"/>
    <w:rsid w:val="00A028C0"/>
    <w:rsid w:val="00A02BAE"/>
    <w:rsid w:val="00A06A6B"/>
    <w:rsid w:val="00A07E47"/>
    <w:rsid w:val="00A129D0"/>
    <w:rsid w:val="00A12C33"/>
    <w:rsid w:val="00A138BA"/>
    <w:rsid w:val="00A14C8E"/>
    <w:rsid w:val="00A153D9"/>
    <w:rsid w:val="00A15F09"/>
    <w:rsid w:val="00A169B6"/>
    <w:rsid w:val="00A2230B"/>
    <w:rsid w:val="00A2271D"/>
    <w:rsid w:val="00A237D5"/>
    <w:rsid w:val="00A26E97"/>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28AC"/>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07A3A"/>
    <w:rsid w:val="00B10534"/>
    <w:rsid w:val="00B113DB"/>
    <w:rsid w:val="00B11D8A"/>
    <w:rsid w:val="00B12981"/>
    <w:rsid w:val="00B147DD"/>
    <w:rsid w:val="00B156FD"/>
    <w:rsid w:val="00B21F61"/>
    <w:rsid w:val="00B261F1"/>
    <w:rsid w:val="00B265BC"/>
    <w:rsid w:val="00B30388"/>
    <w:rsid w:val="00B31FB1"/>
    <w:rsid w:val="00B33952"/>
    <w:rsid w:val="00B33C5E"/>
    <w:rsid w:val="00B342F4"/>
    <w:rsid w:val="00B34369"/>
    <w:rsid w:val="00B34DC2"/>
    <w:rsid w:val="00B362C9"/>
    <w:rsid w:val="00B378E5"/>
    <w:rsid w:val="00B4346D"/>
    <w:rsid w:val="00B440F4"/>
    <w:rsid w:val="00B447A5"/>
    <w:rsid w:val="00B4654C"/>
    <w:rsid w:val="00B47293"/>
    <w:rsid w:val="00B47454"/>
    <w:rsid w:val="00B50E50"/>
    <w:rsid w:val="00B52120"/>
    <w:rsid w:val="00B54ABC"/>
    <w:rsid w:val="00B56FBE"/>
    <w:rsid w:val="00B60ACF"/>
    <w:rsid w:val="00B62B58"/>
    <w:rsid w:val="00B65149"/>
    <w:rsid w:val="00B66567"/>
    <w:rsid w:val="00B66F52"/>
    <w:rsid w:val="00B66FE5"/>
    <w:rsid w:val="00B6756C"/>
    <w:rsid w:val="00B72880"/>
    <w:rsid w:val="00B758BF"/>
    <w:rsid w:val="00B76980"/>
    <w:rsid w:val="00B77EC8"/>
    <w:rsid w:val="00B827A6"/>
    <w:rsid w:val="00B831CE"/>
    <w:rsid w:val="00B83884"/>
    <w:rsid w:val="00B847D2"/>
    <w:rsid w:val="00B86677"/>
    <w:rsid w:val="00B87131"/>
    <w:rsid w:val="00B939B1"/>
    <w:rsid w:val="00B96D40"/>
    <w:rsid w:val="00B97386"/>
    <w:rsid w:val="00BA263B"/>
    <w:rsid w:val="00BA42B2"/>
    <w:rsid w:val="00BA58D4"/>
    <w:rsid w:val="00BA5B9E"/>
    <w:rsid w:val="00BA7C9A"/>
    <w:rsid w:val="00BB5F8F"/>
    <w:rsid w:val="00BB657A"/>
    <w:rsid w:val="00BB74C3"/>
    <w:rsid w:val="00BC1A4E"/>
    <w:rsid w:val="00BC5DC7"/>
    <w:rsid w:val="00BC6B8B"/>
    <w:rsid w:val="00BC73D8"/>
    <w:rsid w:val="00BD52D7"/>
    <w:rsid w:val="00BD5AD2"/>
    <w:rsid w:val="00BE22F3"/>
    <w:rsid w:val="00BE5B52"/>
    <w:rsid w:val="00BE7B8D"/>
    <w:rsid w:val="00BE7CE3"/>
    <w:rsid w:val="00BF0993"/>
    <w:rsid w:val="00BF10A9"/>
    <w:rsid w:val="00BF1703"/>
    <w:rsid w:val="00BF231C"/>
    <w:rsid w:val="00BF51E5"/>
    <w:rsid w:val="00BF74A6"/>
    <w:rsid w:val="00C013AD"/>
    <w:rsid w:val="00C03C31"/>
    <w:rsid w:val="00C04904"/>
    <w:rsid w:val="00C056B3"/>
    <w:rsid w:val="00C103E5"/>
    <w:rsid w:val="00C13319"/>
    <w:rsid w:val="00C13EE9"/>
    <w:rsid w:val="00C21540"/>
    <w:rsid w:val="00C21906"/>
    <w:rsid w:val="00C21BFA"/>
    <w:rsid w:val="00C227B9"/>
    <w:rsid w:val="00C24545"/>
    <w:rsid w:val="00C24C8D"/>
    <w:rsid w:val="00C25FE2"/>
    <w:rsid w:val="00C26B53"/>
    <w:rsid w:val="00C279B2"/>
    <w:rsid w:val="00C33E50"/>
    <w:rsid w:val="00C34C20"/>
    <w:rsid w:val="00C35A3E"/>
    <w:rsid w:val="00C42130"/>
    <w:rsid w:val="00C423A4"/>
    <w:rsid w:val="00C423E3"/>
    <w:rsid w:val="00C44BF5"/>
    <w:rsid w:val="00C44FA2"/>
    <w:rsid w:val="00C521D6"/>
    <w:rsid w:val="00C55232"/>
    <w:rsid w:val="00C553A4"/>
    <w:rsid w:val="00C55A06"/>
    <w:rsid w:val="00C55D03"/>
    <w:rsid w:val="00C601BC"/>
    <w:rsid w:val="00C6329F"/>
    <w:rsid w:val="00C63340"/>
    <w:rsid w:val="00C643F9"/>
    <w:rsid w:val="00C64E95"/>
    <w:rsid w:val="00C65B09"/>
    <w:rsid w:val="00C71372"/>
    <w:rsid w:val="00C72410"/>
    <w:rsid w:val="00C7287F"/>
    <w:rsid w:val="00C72AFB"/>
    <w:rsid w:val="00C80CB8"/>
    <w:rsid w:val="00C819F8"/>
    <w:rsid w:val="00C8248C"/>
    <w:rsid w:val="00C84E33"/>
    <w:rsid w:val="00C86D6F"/>
    <w:rsid w:val="00C905FC"/>
    <w:rsid w:val="00C92179"/>
    <w:rsid w:val="00C92D03"/>
    <w:rsid w:val="00C9319C"/>
    <w:rsid w:val="00C9435D"/>
    <w:rsid w:val="00C94DF2"/>
    <w:rsid w:val="00C96741"/>
    <w:rsid w:val="00CA2D1B"/>
    <w:rsid w:val="00CA375D"/>
    <w:rsid w:val="00CA494B"/>
    <w:rsid w:val="00CA662A"/>
    <w:rsid w:val="00CA7AFD"/>
    <w:rsid w:val="00CA7C3C"/>
    <w:rsid w:val="00CB0189"/>
    <w:rsid w:val="00CB030E"/>
    <w:rsid w:val="00CB0BA2"/>
    <w:rsid w:val="00CB1A42"/>
    <w:rsid w:val="00CB1B0C"/>
    <w:rsid w:val="00CB2C0B"/>
    <w:rsid w:val="00CB303B"/>
    <w:rsid w:val="00CB517D"/>
    <w:rsid w:val="00CC038D"/>
    <w:rsid w:val="00CC08DB"/>
    <w:rsid w:val="00CC39FF"/>
    <w:rsid w:val="00CC3C2F"/>
    <w:rsid w:val="00CC4AC8"/>
    <w:rsid w:val="00CC5233"/>
    <w:rsid w:val="00CC5DE6"/>
    <w:rsid w:val="00CC6E4E"/>
    <w:rsid w:val="00CC6FE8"/>
    <w:rsid w:val="00CC7202"/>
    <w:rsid w:val="00CD2808"/>
    <w:rsid w:val="00CD28BF"/>
    <w:rsid w:val="00CD2A50"/>
    <w:rsid w:val="00CD3A7A"/>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CD1"/>
    <w:rsid w:val="00D10F50"/>
    <w:rsid w:val="00D11272"/>
    <w:rsid w:val="00D126F5"/>
    <w:rsid w:val="00D1489E"/>
    <w:rsid w:val="00D20737"/>
    <w:rsid w:val="00D20EEA"/>
    <w:rsid w:val="00D21E81"/>
    <w:rsid w:val="00D223DE"/>
    <w:rsid w:val="00D25E37"/>
    <w:rsid w:val="00D2661A"/>
    <w:rsid w:val="00D27582"/>
    <w:rsid w:val="00D27EC4"/>
    <w:rsid w:val="00D32719"/>
    <w:rsid w:val="00D33333"/>
    <w:rsid w:val="00D352A2"/>
    <w:rsid w:val="00D4162B"/>
    <w:rsid w:val="00D42C5A"/>
    <w:rsid w:val="00D4514F"/>
    <w:rsid w:val="00D451E2"/>
    <w:rsid w:val="00D45E89"/>
    <w:rsid w:val="00D45E8D"/>
    <w:rsid w:val="00D466AE"/>
    <w:rsid w:val="00D4734F"/>
    <w:rsid w:val="00D51BF3"/>
    <w:rsid w:val="00D51D04"/>
    <w:rsid w:val="00D66846"/>
    <w:rsid w:val="00D675FB"/>
    <w:rsid w:val="00D71F25"/>
    <w:rsid w:val="00D72A9C"/>
    <w:rsid w:val="00D77031"/>
    <w:rsid w:val="00D84045"/>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952"/>
    <w:rsid w:val="00E01138"/>
    <w:rsid w:val="00E02DFB"/>
    <w:rsid w:val="00E030F9"/>
    <w:rsid w:val="00E0311A"/>
    <w:rsid w:val="00E03138"/>
    <w:rsid w:val="00E06404"/>
    <w:rsid w:val="00E11A85"/>
    <w:rsid w:val="00E12495"/>
    <w:rsid w:val="00E12E6F"/>
    <w:rsid w:val="00E15CCD"/>
    <w:rsid w:val="00E202EF"/>
    <w:rsid w:val="00E210B5"/>
    <w:rsid w:val="00E2552F"/>
    <w:rsid w:val="00E25B5D"/>
    <w:rsid w:val="00E2784E"/>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70388"/>
    <w:rsid w:val="00E70F92"/>
    <w:rsid w:val="00E74313"/>
    <w:rsid w:val="00E74C54"/>
    <w:rsid w:val="00E77A03"/>
    <w:rsid w:val="00E822E8"/>
    <w:rsid w:val="00E824F4"/>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67D0"/>
    <w:rsid w:val="00EB74DB"/>
    <w:rsid w:val="00EC5359"/>
    <w:rsid w:val="00EC562A"/>
    <w:rsid w:val="00ED067A"/>
    <w:rsid w:val="00ED2B50"/>
    <w:rsid w:val="00ED75C2"/>
    <w:rsid w:val="00EE0350"/>
    <w:rsid w:val="00EE0719"/>
    <w:rsid w:val="00EE0E80"/>
    <w:rsid w:val="00EE18AE"/>
    <w:rsid w:val="00EE613F"/>
    <w:rsid w:val="00EE7295"/>
    <w:rsid w:val="00EE7869"/>
    <w:rsid w:val="00EF054A"/>
    <w:rsid w:val="00EF2252"/>
    <w:rsid w:val="00EF3235"/>
    <w:rsid w:val="00EF7076"/>
    <w:rsid w:val="00EF7609"/>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352B8"/>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05BE"/>
    <w:rsid w:val="00F71E22"/>
    <w:rsid w:val="00F72142"/>
    <w:rsid w:val="00F72AE7"/>
    <w:rsid w:val="00F807F9"/>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28636302"/>
    <w:rsid w:val="393F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uiPriority w:val="0"/>
    <w:rPr>
      <w:b/>
      <w:bCs/>
      <w:kern w:val="44"/>
      <w:sz w:val="44"/>
      <w:szCs w:val="44"/>
    </w:rPr>
  </w:style>
  <w:style w:type="character" w:customStyle="1" w:styleId="35">
    <w:name w:val="标题 2 字符"/>
    <w:link w:val="3"/>
    <w:uiPriority w:val="0"/>
    <w:rPr>
      <w:rFonts w:ascii="Arial" w:hAnsi="Arial" w:eastAsia="黑体"/>
      <w:b/>
      <w:bCs/>
      <w:kern w:val="2"/>
      <w:sz w:val="32"/>
      <w:szCs w:val="32"/>
    </w:rPr>
  </w:style>
  <w:style w:type="character" w:customStyle="1" w:styleId="36">
    <w:name w:val="标题 3 字符"/>
    <w:link w:val="4"/>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uiPriority w:val="0"/>
    <w:rPr>
      <w:b/>
      <w:bCs/>
      <w:kern w:val="2"/>
      <w:sz w:val="28"/>
      <w:szCs w:val="28"/>
    </w:rPr>
  </w:style>
  <w:style w:type="character" w:customStyle="1" w:styleId="39">
    <w:name w:val="标题 6 字符"/>
    <w:link w:val="7"/>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uiPriority w:val="0"/>
    <w:rPr>
      <w:rFonts w:ascii="Arial" w:hAnsi="Arial" w:cs="Arial"/>
      <w:b/>
      <w:bCs/>
      <w:kern w:val="2"/>
      <w:sz w:val="32"/>
      <w:szCs w:val="32"/>
    </w:rPr>
  </w:style>
  <w:style w:type="paragraph" w:customStyle="1" w:styleId="49">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link w:val="231"/>
    <w:qFormat/>
    <w:uiPriority w:val="0"/>
    <w:pPr>
      <w:numPr>
        <w:ilvl w:val="0"/>
        <w:numId w:val="21"/>
      </w:numPr>
      <w:tabs>
        <w:tab w:val="left" w:pos="851"/>
        <w:tab w:val="clear" w:pos="2694"/>
      </w:tabs>
      <w:ind w:left="851"/>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Times New Roman"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style>
  <w:style w:type="paragraph" w:customStyle="1" w:styleId="189">
    <w:name w:val="标准文件_一级项2"/>
    <w:basedOn w:val="56"/>
    <w:qFormat/>
    <w:uiPriority w:val="0"/>
    <w:pPr>
      <w:numPr>
        <w:ilvl w:val="0"/>
        <w:numId w:val="31"/>
      </w:numPr>
      <w:spacing w:line="300" w:lineRule="exact"/>
      <w:ind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Times New Roman"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17babae4-54f0-44fa-a444-1068224df0ac"/>
    <w:basedOn w:val="25"/>
    <w:link w:val="232"/>
    <w:qFormat/>
    <w:uiPriority w:val="0"/>
  </w:style>
  <w:style w:type="character" w:customStyle="1" w:styleId="231">
    <w:name w:val="标准文件_一级项 字符"/>
    <w:basedOn w:val="28"/>
    <w:link w:val="132"/>
    <w:qFormat/>
    <w:uiPriority w:val="0"/>
    <w:rPr>
      <w:rFonts w:ascii="宋体" w:hAnsi="Times New Roman"/>
      <w:sz w:val="21"/>
    </w:rPr>
  </w:style>
  <w:style w:type="character" w:customStyle="1" w:styleId="232">
    <w:name w:val="17babae4-54f0-44fa-a444-1068224df0ac 字符"/>
    <w:basedOn w:val="231"/>
    <w:link w:val="230"/>
    <w:qFormat/>
    <w:uiPriority w:val="0"/>
    <w:rPr>
      <w:rFonts w:ascii="Arial" w:hAnsi="Arial" w:cs="Arial"/>
      <w:b/>
      <w:bCs/>
      <w:kern w:val="2"/>
      <w:sz w:val="32"/>
      <w:szCs w:val="32"/>
    </w:rPr>
  </w:style>
  <w:style w:type="paragraph" w:customStyle="1" w:styleId="233">
    <w:name w:val="acbfdd8b-e11b-4d36-88ff-6049b138f862"/>
    <w:basedOn w:val="1"/>
    <w:link w:val="234"/>
    <w:qFormat/>
    <w:uiPriority w:val="0"/>
    <w:pPr>
      <w:spacing w:line="288" w:lineRule="auto"/>
      <w:jc w:val="left"/>
    </w:pPr>
    <w:rPr>
      <w:rFonts w:ascii="宋体" w:hAnsi="Times New Roman"/>
    </w:rPr>
  </w:style>
  <w:style w:type="character" w:customStyle="1" w:styleId="234">
    <w:name w:val="acbfdd8b-e11b-4d36-88ff-6049b138f862 字符"/>
    <w:basedOn w:val="231"/>
    <w:link w:val="233"/>
    <w:qFormat/>
    <w:uiPriority w:val="0"/>
    <w:rPr>
      <w:rFonts w:ascii="宋体" w:hAnsi="Times New Roman"/>
      <w:kern w:val="2"/>
      <w:sz w:val="21"/>
      <w:szCs w:val="21"/>
    </w:rPr>
  </w:style>
  <w:style w:type="paragraph" w:customStyle="1" w:styleId="235">
    <w:name w:val="566ba9ff-a5b0-4b6f-bbdf-c3ab41993fc2"/>
    <w:basedOn w:val="5"/>
    <w:next w:val="233"/>
    <w:link w:val="236"/>
    <w:qFormat/>
    <w:uiPriority w:val="0"/>
    <w:pPr>
      <w:spacing w:before="0" w:after="0" w:line="288" w:lineRule="auto"/>
      <w:jc w:val="left"/>
    </w:pPr>
  </w:style>
  <w:style w:type="character" w:customStyle="1" w:styleId="236">
    <w:name w:val="566ba9ff-a5b0-4b6f-bbdf-c3ab41993fc2 字符"/>
    <w:basedOn w:val="231"/>
    <w:link w:val="235"/>
    <w:qFormat/>
    <w:uiPriority w:val="0"/>
    <w:rPr>
      <w:rFonts w:ascii="Arial" w:hAnsi="Arial" w:eastAsia="黑体"/>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3.jpe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0D5B730719A493D902C0A1D22B9DAE2"/>
        <w:style w:val=""/>
        <w:category>
          <w:name w:val="常规"/>
          <w:gallery w:val="placeholder"/>
        </w:category>
        <w:types>
          <w:type w:val="bbPlcHdr"/>
        </w:types>
        <w:behaviors>
          <w:behavior w:val="content"/>
        </w:behaviors>
        <w:description w:val=""/>
        <w:guid w:val="{DF0EB0FC-E47A-4C22-9380-2AF25A96EDFD}"/>
      </w:docPartPr>
      <w:docPartBody>
        <w:p w14:paraId="5A337D9C">
          <w:pPr>
            <w:pStyle w:val="5"/>
          </w:pPr>
          <w:r>
            <w:rPr>
              <w:rStyle w:val="4"/>
              <w:rFonts w:hint="eastAsia"/>
            </w:rPr>
            <w:t>单击或点击此处输入文字。</w:t>
          </w:r>
        </w:p>
      </w:docPartBody>
    </w:docPart>
    <w:docPart>
      <w:docPartPr>
        <w:name w:val="CB7E52FFB73348B592A7684BED770595"/>
        <w:style w:val=""/>
        <w:category>
          <w:name w:val="常规"/>
          <w:gallery w:val="placeholder"/>
        </w:category>
        <w:types>
          <w:type w:val="bbPlcHdr"/>
        </w:types>
        <w:behaviors>
          <w:behavior w:val="content"/>
        </w:behaviors>
        <w:description w:val=""/>
        <w:guid w:val="{3451F587-8B36-4706-8D87-EDDBB76EEA7E}"/>
      </w:docPartPr>
      <w:docPartBody>
        <w:p w14:paraId="03119838">
          <w:pPr>
            <w:pStyle w:val="6"/>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56"/>
    <w:rsid w:val="000600DB"/>
    <w:rsid w:val="001B3902"/>
    <w:rsid w:val="00277794"/>
    <w:rsid w:val="002E39FE"/>
    <w:rsid w:val="003E7A56"/>
    <w:rsid w:val="0048326F"/>
    <w:rsid w:val="00546CD9"/>
    <w:rsid w:val="005D2C06"/>
    <w:rsid w:val="00692730"/>
    <w:rsid w:val="008C70CE"/>
    <w:rsid w:val="00AB5FE8"/>
    <w:rsid w:val="00BE2E8C"/>
    <w:rsid w:val="00C44FA2"/>
    <w:rsid w:val="00C47BD7"/>
    <w:rsid w:val="00D4374E"/>
    <w:rsid w:val="00DD34A1"/>
    <w:rsid w:val="00E41C47"/>
    <w:rsid w:val="00EB67D0"/>
    <w:rsid w:val="00EF2252"/>
    <w:rsid w:val="00EF73FB"/>
    <w:rsid w:val="00FA7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0D5B730719A493D902C0A1D22B9DAE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CB7E52FFB73348B592A7684BED77059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Pages>10</Pages>
  <Words>3626</Words>
  <Characters>4877</Characters>
  <Lines>204</Lines>
  <Paragraphs>234</Paragraphs>
  <TotalTime>53</TotalTime>
  <ScaleCrop>false</ScaleCrop>
  <LinksUpToDate>false</LinksUpToDate>
  <CharactersWithSpaces>5151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2025-11-03T07:33:00Z</dcterms:created>
  <dc:creator>ZG</dc:creator>
  <cp:lastModifiedBy>凡</cp:lastModifiedBy>
  <cp:lastPrinted>2025-11-04T02:34:00Z</cp:lastPrinted>
  <dcterms:modified xsi:type="dcterms:W3CDTF">2026-01-19T06:10:33Z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eyJoZGlkIjoiNjU3YzQzMDI0OThlYjJmZDVkZGNjOWU2ZGMxYjkxNmIiLCJ1c2VySWQiOiIxMDA1MzUwMzMxIn0=</vt:lpwstr>
  </property>
  <property fmtid="{D5CDD505-2E9C-101B-9397-08002B2CF9AE}" pid="16" name="KSOProductBuildVer">
    <vt:lpwstr>2052-12.1.0.24657</vt:lpwstr>
  </property>
  <property fmtid="{D5CDD505-2E9C-101B-9397-08002B2CF9AE}" pid="17" name="ICV">
    <vt:lpwstr>E1E4FCF46E0F460788777A7791F78D75_13</vt:lpwstr>
  </property>
</Properties>
</file>